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014B6" w14:textId="4FA111D8" w:rsidR="00031686" w:rsidRPr="005066DE" w:rsidRDefault="008C6DE5" w:rsidP="005066DE">
      <w:pPr>
        <w:pStyle w:val="Nombres"/>
      </w:pPr>
      <w:r w:rsidRPr="00F1528A">
        <w:rPr>
          <w:u w:val="single"/>
        </w:rPr>
        <w:t>N.G. Pérez-de-Eulat</w:t>
      </w:r>
      <w:r w:rsidR="00F1528A" w:rsidRPr="00F1528A">
        <w:rPr>
          <w:u w:val="single"/>
        </w:rPr>
        <w:t>e</w:t>
      </w:r>
      <w:r w:rsidR="00CA32CA">
        <w:rPr>
          <w:u w:val="single"/>
        </w:rPr>
        <w:t xml:space="preserve"> a</w:t>
      </w:r>
      <w:r w:rsidR="0098336B" w:rsidRPr="005066DE">
        <w:t xml:space="preserve">, </w:t>
      </w:r>
      <w:r>
        <w:t>F.J. Vallej</w:t>
      </w:r>
      <w:r w:rsidR="00F1528A">
        <w:t>o</w:t>
      </w:r>
      <w:r w:rsidR="00CA32CA">
        <w:t xml:space="preserve"> a</w:t>
      </w:r>
      <w:r w:rsidR="005066DE" w:rsidRPr="005066DE">
        <w:t xml:space="preserve">, </w:t>
      </w:r>
      <w:r>
        <w:t>G. Goenag</w:t>
      </w:r>
      <w:r w:rsidR="00F1528A">
        <w:t>a</w:t>
      </w:r>
      <w:r w:rsidR="00CA32CA">
        <w:t xml:space="preserve"> a</w:t>
      </w:r>
      <w:r>
        <w:t>, M. Urrutxu</w:t>
      </w:r>
      <w:r w:rsidR="00F1528A">
        <w:t>a</w:t>
      </w:r>
      <w:r w:rsidR="00CA32CA">
        <w:t xml:space="preserve"> a</w:t>
      </w:r>
      <w:r>
        <w:t>, J. Ballester</w:t>
      </w:r>
      <w:r w:rsidR="00F1528A">
        <w:t>o</w:t>
      </w:r>
      <w:r w:rsidR="00CA32CA">
        <w:t xml:space="preserve"> b</w:t>
      </w:r>
      <w:r>
        <w:t>, P. Are</w:t>
      </w:r>
      <w:r w:rsidR="00F1528A">
        <w:t>s</w:t>
      </w:r>
      <w:r w:rsidR="00CA32CA">
        <w:t xml:space="preserve"> b</w:t>
      </w:r>
      <w:r>
        <w:t xml:space="preserve">, </w:t>
      </w:r>
      <w:r w:rsidR="00156A3C">
        <w:t>A</w:t>
      </w:r>
      <w:r>
        <w:t>. Allu</w:t>
      </w:r>
      <w:r w:rsidR="00F1528A">
        <w:t>e</w:t>
      </w:r>
      <w:r w:rsidR="00CA32CA">
        <w:t xml:space="preserve"> b</w:t>
      </w:r>
      <w:r>
        <w:t>, J.L. Góme</w:t>
      </w:r>
      <w:r w:rsidR="00F1528A">
        <w:t>z</w:t>
      </w:r>
      <w:r w:rsidR="00CA32CA">
        <w:t xml:space="preserve"> b</w:t>
      </w:r>
    </w:p>
    <w:p w14:paraId="7D6DB328" w14:textId="5629587E" w:rsidR="00F1528A" w:rsidRPr="00AA16D8" w:rsidRDefault="00CA32CA" w:rsidP="00F1528A">
      <w:pPr>
        <w:pStyle w:val="Afiliacin"/>
      </w:pPr>
      <w:r w:rsidRPr="00AA16D8">
        <w:t xml:space="preserve">a </w:t>
      </w:r>
      <w:r w:rsidR="00F1528A" w:rsidRPr="00AA16D8">
        <w:t>I</w:t>
      </w:r>
      <w:r w:rsidR="00F1528A" w:rsidRPr="00AA16D8">
        <w:rPr>
          <w:rFonts w:ascii="Times New Roman" w:hAnsi="Times New Roman" w:cs="Times New Roman"/>
        </w:rPr>
        <w:t>DEKO</w:t>
      </w:r>
      <w:r w:rsidR="00AA16D8" w:rsidRPr="00AA16D8">
        <w:rPr>
          <w:rFonts w:ascii="Times New Roman" w:hAnsi="Times New Roman" w:cs="Times New Roman"/>
        </w:rPr>
        <w:t xml:space="preserve"> Technology Centre, Basque Research and Technology Alliance (BRTA)</w:t>
      </w:r>
      <w:r w:rsidR="00F1528A" w:rsidRPr="00AA16D8">
        <w:rPr>
          <w:rFonts w:ascii="Times New Roman" w:hAnsi="Times New Roman" w:cs="Times New Roman"/>
        </w:rPr>
        <w:t>, Arriaga industrialdea, 2, E-20870 Elgoibar (Gipuzkoa), España</w:t>
      </w:r>
    </w:p>
    <w:p w14:paraId="7B608C64" w14:textId="11B0AF1B" w:rsidR="00F1528A" w:rsidRPr="00F1528A" w:rsidRDefault="00CA32CA" w:rsidP="00DF6B72">
      <w:pPr>
        <w:pStyle w:val="Afiliacin"/>
        <w:rPr>
          <w:lang w:val="es-ES"/>
        </w:rPr>
      </w:pPr>
      <w:r>
        <w:rPr>
          <w:lang w:val="es-ES"/>
        </w:rPr>
        <w:t xml:space="preserve">b </w:t>
      </w:r>
      <w:r w:rsidR="00F1528A">
        <w:rPr>
          <w:lang w:val="es-ES"/>
        </w:rPr>
        <w:t>G</w:t>
      </w:r>
      <w:r w:rsidR="00F1528A" w:rsidRPr="00F1528A">
        <w:rPr>
          <w:rFonts w:ascii="Times New Roman" w:hAnsi="Times New Roman" w:cs="Times New Roman"/>
          <w:lang w:val="es-ES"/>
        </w:rPr>
        <w:t xml:space="preserve">AIKER Technology Centre, Basque Research and Technology Alliance (BRTA), Parque Tecnológico de Bizkaia, Edificio 202, 48170 Zamudio, </w:t>
      </w:r>
      <w:r w:rsidR="00833F5C">
        <w:rPr>
          <w:rFonts w:ascii="Times New Roman" w:hAnsi="Times New Roman" w:cs="Times New Roman"/>
          <w:lang w:val="es-ES"/>
        </w:rPr>
        <w:t>España</w:t>
      </w:r>
    </w:p>
    <w:tbl>
      <w:tblPr>
        <w:tblStyle w:val="Tablaconcuadrcul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7767"/>
      </w:tblGrid>
      <w:tr w:rsidR="0098336B" w14:paraId="10979470" w14:textId="77777777" w:rsidTr="008D6516">
        <w:tc>
          <w:tcPr>
            <w:tcW w:w="10148" w:type="dxa"/>
            <w:gridSpan w:val="2"/>
          </w:tcPr>
          <w:p w14:paraId="4D0D4186" w14:textId="5DD690FC" w:rsidR="0098336B" w:rsidRPr="009E219B" w:rsidRDefault="008C6DE5" w:rsidP="00960BA6">
            <w:pPr>
              <w:pStyle w:val="Ttulo"/>
              <w:rPr>
                <w:lang w:val="es-ES"/>
              </w:rPr>
            </w:pPr>
            <w:r>
              <w:rPr>
                <w:lang w:val="es-ES"/>
              </w:rPr>
              <w:t>Estudio de la influencia de aditivos ignífugos sobre composites termoestables de curado ultrvioleta</w:t>
            </w:r>
          </w:p>
        </w:tc>
      </w:tr>
      <w:tr w:rsidR="0098336B" w14:paraId="513B2554" w14:textId="77777777" w:rsidTr="008D6516">
        <w:tc>
          <w:tcPr>
            <w:tcW w:w="2381" w:type="dxa"/>
            <w:tcBorders>
              <w:bottom w:val="single" w:sz="4" w:space="0" w:color="auto"/>
            </w:tcBorders>
          </w:tcPr>
          <w:p w14:paraId="22264F9A" w14:textId="77777777" w:rsidR="0098336B" w:rsidRDefault="00C6390F" w:rsidP="005066DE">
            <w:pPr>
              <w:pStyle w:val="Keywords"/>
            </w:pPr>
            <w:r>
              <w:rPr>
                <w:lang w:val="es-ES" w:eastAsia="es-ES"/>
              </w:rPr>
              <w:drawing>
                <wp:inline distT="0" distB="0" distL="0" distR="0" wp14:anchorId="6319B760" wp14:editId="6C9CD30F">
                  <wp:extent cx="655955" cy="440055"/>
                  <wp:effectExtent l="0" t="0" r="0" b="0"/>
                  <wp:docPr id="1" name="Picture 1" descr="RESU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M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955" cy="440055"/>
                          </a:xfrm>
                          <a:prstGeom prst="rect">
                            <a:avLst/>
                          </a:prstGeom>
                          <a:noFill/>
                          <a:ln>
                            <a:noFill/>
                          </a:ln>
                        </pic:spPr>
                      </pic:pic>
                    </a:graphicData>
                  </a:graphic>
                </wp:inline>
              </w:drawing>
            </w:r>
          </w:p>
        </w:tc>
        <w:tc>
          <w:tcPr>
            <w:tcW w:w="7767" w:type="dxa"/>
          </w:tcPr>
          <w:p w14:paraId="32C8824A" w14:textId="77777777" w:rsidR="0098336B" w:rsidRDefault="0098336B" w:rsidP="0098336B">
            <w:pPr>
              <w:ind w:right="565"/>
              <w:rPr>
                <w:noProof/>
                <w:sz w:val="20"/>
                <w:szCs w:val="20"/>
              </w:rPr>
            </w:pPr>
          </w:p>
        </w:tc>
      </w:tr>
      <w:tr w:rsidR="00F6689C" w:rsidRPr="006D2E8C" w14:paraId="4BA5D222" w14:textId="77777777" w:rsidTr="00646901">
        <w:trPr>
          <w:trHeight w:val="1673"/>
        </w:trPr>
        <w:tc>
          <w:tcPr>
            <w:tcW w:w="2381" w:type="dxa"/>
            <w:tcBorders>
              <w:top w:val="single" w:sz="4" w:space="0" w:color="auto"/>
              <w:bottom w:val="single" w:sz="4" w:space="0" w:color="auto"/>
            </w:tcBorders>
          </w:tcPr>
          <w:p w14:paraId="6513D630" w14:textId="77777777" w:rsidR="00F6689C" w:rsidRPr="00960BA6" w:rsidRDefault="00960BA6" w:rsidP="00646901">
            <w:pPr>
              <w:pStyle w:val="Keywords"/>
              <w:spacing w:before="240"/>
              <w:rPr>
                <w:lang w:val="es-ES"/>
              </w:rPr>
            </w:pPr>
            <w:r w:rsidRPr="00960BA6">
              <w:rPr>
                <w:lang w:val="es-ES"/>
              </w:rPr>
              <w:t>Historia del artículo:</w:t>
            </w:r>
          </w:p>
          <w:p w14:paraId="450CE500" w14:textId="1058EA65" w:rsidR="00F6689C" w:rsidRPr="00874199" w:rsidRDefault="00960BA6" w:rsidP="00646901">
            <w:pPr>
              <w:pStyle w:val="Keywords"/>
              <w:rPr>
                <w:highlight w:val="yellow"/>
                <w:lang w:val="es-ES"/>
              </w:rPr>
            </w:pPr>
            <w:r w:rsidRPr="00874199">
              <w:rPr>
                <w:highlight w:val="yellow"/>
                <w:lang w:val="es-ES"/>
              </w:rPr>
              <w:t>Recibido</w:t>
            </w:r>
            <w:r w:rsidR="00A73F61" w:rsidRPr="00874199">
              <w:rPr>
                <w:highlight w:val="yellow"/>
                <w:lang w:val="es-ES"/>
              </w:rPr>
              <w:t xml:space="preserve"> </w:t>
            </w:r>
            <w:r w:rsidR="0089141C">
              <w:rPr>
                <w:highlight w:val="yellow"/>
                <w:lang w:val="es-ES"/>
              </w:rPr>
              <w:t>30</w:t>
            </w:r>
            <w:r w:rsidR="00A73F61" w:rsidRPr="00874199">
              <w:rPr>
                <w:highlight w:val="yellow"/>
                <w:lang w:val="es-ES"/>
              </w:rPr>
              <w:t xml:space="preserve"> </w:t>
            </w:r>
            <w:r w:rsidRPr="00874199">
              <w:rPr>
                <w:highlight w:val="yellow"/>
                <w:lang w:val="es-ES"/>
              </w:rPr>
              <w:t xml:space="preserve">de </w:t>
            </w:r>
            <w:r w:rsidR="0089141C">
              <w:rPr>
                <w:highlight w:val="yellow"/>
                <w:lang w:val="es-ES"/>
              </w:rPr>
              <w:t>Abril</w:t>
            </w:r>
            <w:r w:rsidR="00A73F61" w:rsidRPr="00874199">
              <w:rPr>
                <w:highlight w:val="yellow"/>
                <w:lang w:val="es-ES"/>
              </w:rPr>
              <w:t xml:space="preserve"> </w:t>
            </w:r>
            <w:r w:rsidR="00F6689C" w:rsidRPr="00874199">
              <w:rPr>
                <w:highlight w:val="yellow"/>
                <w:lang w:val="es-ES"/>
              </w:rPr>
              <w:t>20</w:t>
            </w:r>
            <w:r w:rsidR="0089141C">
              <w:rPr>
                <w:highlight w:val="yellow"/>
                <w:lang w:val="es-ES"/>
              </w:rPr>
              <w:t>22</w:t>
            </w:r>
          </w:p>
          <w:p w14:paraId="1ABA0A9E" w14:textId="791F224A" w:rsidR="00F6689C" w:rsidRPr="0089141C" w:rsidRDefault="00960BA6" w:rsidP="00646901">
            <w:pPr>
              <w:pStyle w:val="Keywords"/>
              <w:rPr>
                <w:highlight w:val="yellow"/>
                <w:lang w:val="es-ES"/>
              </w:rPr>
            </w:pPr>
            <w:r w:rsidRPr="00874199">
              <w:rPr>
                <w:highlight w:val="yellow"/>
                <w:lang w:val="es-ES"/>
              </w:rPr>
              <w:t xml:space="preserve">En la </w:t>
            </w:r>
            <w:r w:rsidRPr="0089141C">
              <w:rPr>
                <w:highlight w:val="yellow"/>
                <w:lang w:val="es-ES"/>
              </w:rPr>
              <w:t>versión revisada</w:t>
            </w:r>
            <w:r w:rsidR="00F6689C" w:rsidRPr="0089141C">
              <w:rPr>
                <w:highlight w:val="yellow"/>
                <w:lang w:val="es-ES"/>
              </w:rPr>
              <w:t xml:space="preserve"> </w:t>
            </w:r>
            <w:r w:rsidR="0089141C" w:rsidRPr="0089141C">
              <w:rPr>
                <w:highlight w:val="yellow"/>
                <w:lang w:val="es-ES"/>
              </w:rPr>
              <w:t>XX</w:t>
            </w:r>
            <w:r w:rsidR="00F6689C" w:rsidRPr="0089141C">
              <w:rPr>
                <w:highlight w:val="yellow"/>
                <w:lang w:val="es-ES"/>
              </w:rPr>
              <w:t xml:space="preserve"> </w:t>
            </w:r>
            <w:r w:rsidRPr="0089141C">
              <w:rPr>
                <w:highlight w:val="yellow"/>
                <w:lang w:val="es-ES"/>
              </w:rPr>
              <w:t>de</w:t>
            </w:r>
            <w:r w:rsidR="0089141C" w:rsidRPr="0089141C">
              <w:rPr>
                <w:highlight w:val="yellow"/>
                <w:lang w:val="es-ES"/>
              </w:rPr>
              <w:t xml:space="preserve"> XXXXXXXXXX</w:t>
            </w:r>
          </w:p>
          <w:p w14:paraId="6E360C2A" w14:textId="514CB7C0" w:rsidR="00F6689C" w:rsidRPr="0089141C" w:rsidRDefault="00F6689C" w:rsidP="00646901">
            <w:pPr>
              <w:pStyle w:val="Keywords"/>
              <w:rPr>
                <w:highlight w:val="yellow"/>
                <w:lang w:val="es-ES"/>
              </w:rPr>
            </w:pPr>
            <w:r w:rsidRPr="0089141C">
              <w:rPr>
                <w:highlight w:val="yellow"/>
                <w:lang w:val="es-ES"/>
              </w:rPr>
              <w:t>Acept</w:t>
            </w:r>
            <w:r w:rsidR="00960BA6" w:rsidRPr="0089141C">
              <w:rPr>
                <w:highlight w:val="yellow"/>
                <w:lang w:val="es-ES"/>
              </w:rPr>
              <w:t>a</w:t>
            </w:r>
            <w:r w:rsidRPr="0089141C">
              <w:rPr>
                <w:highlight w:val="yellow"/>
                <w:lang w:val="es-ES"/>
              </w:rPr>
              <w:t>d</w:t>
            </w:r>
            <w:r w:rsidR="00960BA6" w:rsidRPr="0089141C">
              <w:rPr>
                <w:highlight w:val="yellow"/>
                <w:lang w:val="es-ES"/>
              </w:rPr>
              <w:t>o</w:t>
            </w:r>
            <w:r w:rsidRPr="0089141C">
              <w:rPr>
                <w:highlight w:val="yellow"/>
                <w:lang w:val="es-ES"/>
              </w:rPr>
              <w:t xml:space="preserve"> </w:t>
            </w:r>
            <w:r w:rsidR="0089141C" w:rsidRPr="0089141C">
              <w:rPr>
                <w:highlight w:val="yellow"/>
                <w:lang w:val="es-ES"/>
              </w:rPr>
              <w:t>XX</w:t>
            </w:r>
            <w:r w:rsidRPr="0089141C">
              <w:rPr>
                <w:highlight w:val="yellow"/>
                <w:lang w:val="es-ES"/>
              </w:rPr>
              <w:t xml:space="preserve"> </w:t>
            </w:r>
          </w:p>
          <w:p w14:paraId="2A7D8D03" w14:textId="66D0BE6B" w:rsidR="00F6689C" w:rsidRPr="0089141C" w:rsidRDefault="00960BA6" w:rsidP="0089141C">
            <w:pPr>
              <w:pStyle w:val="Keywords"/>
              <w:rPr>
                <w:highlight w:val="yellow"/>
                <w:lang w:val="es-ES"/>
              </w:rPr>
            </w:pPr>
            <w:r w:rsidRPr="0089141C">
              <w:rPr>
                <w:highlight w:val="yellow"/>
                <w:lang w:val="es-ES"/>
              </w:rPr>
              <w:t xml:space="preserve">Accesible </w:t>
            </w:r>
            <w:r w:rsidR="00F6689C" w:rsidRPr="0089141C">
              <w:rPr>
                <w:highlight w:val="yellow"/>
                <w:lang w:val="es-ES"/>
              </w:rPr>
              <w:t xml:space="preserve">online </w:t>
            </w:r>
            <w:r w:rsidR="0089141C" w:rsidRPr="0089141C">
              <w:rPr>
                <w:highlight w:val="yellow"/>
                <w:lang w:val="es-ES"/>
              </w:rPr>
              <w:t>XXXX</w:t>
            </w:r>
            <w:r w:rsidR="00F6689C" w:rsidRPr="006D2E8C">
              <w:rPr>
                <w:lang w:val="es-ES"/>
              </w:rPr>
              <w:t xml:space="preserve"> </w:t>
            </w:r>
          </w:p>
        </w:tc>
        <w:tc>
          <w:tcPr>
            <w:tcW w:w="7767" w:type="dxa"/>
            <w:vMerge w:val="restart"/>
          </w:tcPr>
          <w:p w14:paraId="0A355746" w14:textId="77777777" w:rsidR="00E867F4" w:rsidRPr="00874199" w:rsidRDefault="00E867F4" w:rsidP="00E867F4">
            <w:pPr>
              <w:pStyle w:val="Resumen-Abstract"/>
              <w:rPr>
                <w:lang w:val="es-ES"/>
              </w:rPr>
            </w:pPr>
            <w:r w:rsidRPr="00874199">
              <w:rPr>
                <w:lang w:val="es-ES"/>
              </w:rPr>
              <w:t>Los composites de polímeros reforzados con fibra son materiales capaces de disminuir el peso manteniendo propiedades optimizadas en múltiples aplicaciones. Sin embargo, el uso de los materiales compuestos no es adecuado para todos los sectores, donde se destaca la necesidad de mejora de las propiedades frente al fuego.</w:t>
            </w:r>
          </w:p>
          <w:p w14:paraId="3B61D785" w14:textId="77777777" w:rsidR="00E867F4" w:rsidRPr="00874199" w:rsidRDefault="00E867F4" w:rsidP="00E867F4">
            <w:pPr>
              <w:pStyle w:val="Resumen-Abstract"/>
              <w:rPr>
                <w:lang w:val="es-ES"/>
              </w:rPr>
            </w:pPr>
            <w:r w:rsidRPr="00874199">
              <w:rPr>
                <w:lang w:val="es-ES"/>
              </w:rPr>
              <w:t xml:space="preserve">En el presente estudio se ha aditivado una matriz de base termoestable, compuesta por monómeros acrílicos de curado ultravioleta (UV), con cargas ignífugas de trihidrato de aluminio (ATH) transparentes a la radicación UV, para la fabricación de composites ignífugos. Se ha realizado un estudio en profundidad de los tipos de aditivos ignífugos, en base ATH más adecuados y las posibles combinaciones sinérgicas que mejoren el comportamiento frente al fuego del composite de curado UV. No sólo se ha estudiado el tipo de ignifugante, sino también el porcentaje de aditivo más adecuado para cumplir con la normativa del sector ferroviario. </w:t>
            </w:r>
          </w:p>
          <w:p w14:paraId="7B1E1202" w14:textId="023EF2C2" w:rsidR="00F6689C" w:rsidRPr="00874199" w:rsidRDefault="00E867F4" w:rsidP="00E867F4">
            <w:pPr>
              <w:pStyle w:val="Resumen-Abstract"/>
              <w:rPr>
                <w:lang w:val="es-ES"/>
              </w:rPr>
            </w:pPr>
            <w:r w:rsidRPr="00874199">
              <w:rPr>
                <w:lang w:val="es-ES"/>
              </w:rPr>
              <w:t>Se ha analizado la compatibilidad entre las cargas y la matriz mediante análisis dieléctrico, así como las propiedades de la matriz y composites finales frente al fuego, y propiedades mecánicas.</w:t>
            </w:r>
          </w:p>
        </w:tc>
      </w:tr>
      <w:tr w:rsidR="00F6689C" w14:paraId="0807C602" w14:textId="77777777" w:rsidTr="00646901">
        <w:trPr>
          <w:trHeight w:val="1413"/>
        </w:trPr>
        <w:tc>
          <w:tcPr>
            <w:tcW w:w="2381" w:type="dxa"/>
            <w:tcBorders>
              <w:top w:val="single" w:sz="4" w:space="0" w:color="auto"/>
            </w:tcBorders>
          </w:tcPr>
          <w:p w14:paraId="337B427C" w14:textId="77777777" w:rsidR="00F6689C" w:rsidRDefault="00B42B10" w:rsidP="00646901">
            <w:pPr>
              <w:pStyle w:val="Keywords"/>
              <w:spacing w:before="240"/>
              <w:rPr>
                <w:lang w:val="es-ES"/>
              </w:rPr>
            </w:pPr>
            <w:r>
              <w:rPr>
                <w:lang w:val="es-ES"/>
              </w:rPr>
              <w:t>Palabras clave</w:t>
            </w:r>
            <w:r w:rsidR="00F6689C" w:rsidRPr="006D2E8C">
              <w:rPr>
                <w:lang w:val="es-ES"/>
              </w:rPr>
              <w:t>:</w:t>
            </w:r>
          </w:p>
          <w:p w14:paraId="1AB26A9D" w14:textId="68C17795" w:rsidR="0032288D" w:rsidRDefault="00874199" w:rsidP="00874199">
            <w:pPr>
              <w:pStyle w:val="Keywords"/>
              <w:rPr>
                <w:lang w:val="es-ES"/>
              </w:rPr>
            </w:pPr>
            <w:r w:rsidRPr="00874199">
              <w:rPr>
                <w:lang w:val="es-ES"/>
              </w:rPr>
              <w:t>Composites de fibra de vidrio de curado UV</w:t>
            </w:r>
          </w:p>
          <w:p w14:paraId="61157F85" w14:textId="7ABC5579" w:rsidR="00874199" w:rsidRPr="006D2E8C" w:rsidRDefault="00874199" w:rsidP="00874199">
            <w:pPr>
              <w:pStyle w:val="Keywords"/>
              <w:rPr>
                <w:lang w:val="es-ES"/>
              </w:rPr>
            </w:pPr>
            <w:r>
              <w:rPr>
                <w:lang w:val="es-ES"/>
              </w:rPr>
              <w:t>ATH</w:t>
            </w:r>
          </w:p>
          <w:p w14:paraId="21B27940" w14:textId="77777777" w:rsidR="00F6689C" w:rsidRDefault="00874199" w:rsidP="00646901">
            <w:pPr>
              <w:pStyle w:val="Keywords"/>
              <w:rPr>
                <w:lang w:val="es-ES"/>
              </w:rPr>
            </w:pPr>
            <w:r w:rsidRPr="00874199">
              <w:rPr>
                <w:lang w:val="es-ES"/>
              </w:rPr>
              <w:t>Cono Calorimétrico</w:t>
            </w:r>
          </w:p>
          <w:p w14:paraId="2E42D8E0" w14:textId="77777777" w:rsidR="00874199" w:rsidRDefault="00874199" w:rsidP="00646901">
            <w:pPr>
              <w:pStyle w:val="Keywords"/>
              <w:rPr>
                <w:lang w:val="es-ES"/>
              </w:rPr>
            </w:pPr>
            <w:r w:rsidRPr="00874199">
              <w:rPr>
                <w:lang w:val="es-ES"/>
              </w:rPr>
              <w:t>MARHE</w:t>
            </w:r>
          </w:p>
          <w:p w14:paraId="208ED4B3" w14:textId="6F25C9E7" w:rsidR="00874199" w:rsidRPr="00960BA6" w:rsidRDefault="00874199" w:rsidP="00646901">
            <w:pPr>
              <w:pStyle w:val="Keywords"/>
              <w:rPr>
                <w:lang w:val="es-ES"/>
              </w:rPr>
            </w:pPr>
            <w:r>
              <w:rPr>
                <w:lang w:val="es-ES"/>
              </w:rPr>
              <w:t>Ignífugo</w:t>
            </w:r>
          </w:p>
        </w:tc>
        <w:tc>
          <w:tcPr>
            <w:tcW w:w="7767" w:type="dxa"/>
            <w:vMerge/>
          </w:tcPr>
          <w:p w14:paraId="22829E83" w14:textId="77777777" w:rsidR="00F6689C" w:rsidRPr="00E330E7" w:rsidRDefault="00F6689C" w:rsidP="00E330E7">
            <w:pPr>
              <w:ind w:right="-106"/>
              <w:rPr>
                <w:sz w:val="16"/>
                <w:szCs w:val="16"/>
              </w:rPr>
            </w:pPr>
          </w:p>
        </w:tc>
      </w:tr>
      <w:tr w:rsidR="005046BC" w:rsidRPr="00E5344E" w14:paraId="3AC4C815" w14:textId="77777777" w:rsidTr="008D6516">
        <w:tc>
          <w:tcPr>
            <w:tcW w:w="10148" w:type="dxa"/>
            <w:gridSpan w:val="2"/>
          </w:tcPr>
          <w:p w14:paraId="1542B274" w14:textId="3317FB15" w:rsidR="005046BC" w:rsidRPr="00960BA6" w:rsidRDefault="00E867F4" w:rsidP="00960BA6">
            <w:pPr>
              <w:pStyle w:val="Ttulo"/>
              <w:rPr>
                <w:lang w:val="en-GB"/>
              </w:rPr>
            </w:pPr>
            <w:r w:rsidRPr="00E867F4">
              <w:t>Study of the influence of flame retardant additives on ultra-violet curing thermosetting composites</w:t>
            </w:r>
          </w:p>
        </w:tc>
      </w:tr>
      <w:tr w:rsidR="0098336B" w:rsidRPr="00960BA6" w14:paraId="7DA1D098" w14:textId="77777777" w:rsidTr="008D6516">
        <w:tc>
          <w:tcPr>
            <w:tcW w:w="2381" w:type="dxa"/>
            <w:tcBorders>
              <w:bottom w:val="single" w:sz="4" w:space="0" w:color="auto"/>
            </w:tcBorders>
          </w:tcPr>
          <w:p w14:paraId="2A3CB375" w14:textId="77777777" w:rsidR="0098336B" w:rsidRDefault="00AC63FA" w:rsidP="00C6390F">
            <w:pPr>
              <w:pStyle w:val="Keywords"/>
              <w:tabs>
                <w:tab w:val="left" w:pos="698"/>
              </w:tabs>
            </w:pPr>
            <w:r>
              <w:rPr>
                <w:lang w:val="es-ES" w:eastAsia="es-ES"/>
              </w:rPr>
              <w:drawing>
                <wp:inline distT="0" distB="0" distL="0" distR="0" wp14:anchorId="5759E9F3" wp14:editId="2F70E0BA">
                  <wp:extent cx="655955" cy="440055"/>
                  <wp:effectExtent l="0" t="0" r="0" b="0"/>
                  <wp:docPr id="2" name="Picture 2" descr="ABS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STRA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5955" cy="440055"/>
                          </a:xfrm>
                          <a:prstGeom prst="rect">
                            <a:avLst/>
                          </a:prstGeom>
                          <a:noFill/>
                          <a:ln>
                            <a:noFill/>
                          </a:ln>
                        </pic:spPr>
                      </pic:pic>
                    </a:graphicData>
                  </a:graphic>
                </wp:inline>
              </w:drawing>
            </w:r>
          </w:p>
        </w:tc>
        <w:tc>
          <w:tcPr>
            <w:tcW w:w="7767" w:type="dxa"/>
          </w:tcPr>
          <w:p w14:paraId="75BD6392" w14:textId="77777777" w:rsidR="0098336B" w:rsidRPr="00960BA6" w:rsidRDefault="0098336B" w:rsidP="0098336B">
            <w:pPr>
              <w:ind w:right="565"/>
              <w:rPr>
                <w:sz w:val="20"/>
                <w:szCs w:val="20"/>
                <w:lang w:val="en-GB"/>
              </w:rPr>
            </w:pPr>
          </w:p>
        </w:tc>
      </w:tr>
      <w:tr w:rsidR="00F6689C" w:rsidRPr="00E5344E" w14:paraId="16233EFD" w14:textId="77777777" w:rsidTr="00646901">
        <w:trPr>
          <w:trHeight w:val="1443"/>
        </w:trPr>
        <w:tc>
          <w:tcPr>
            <w:tcW w:w="2381" w:type="dxa"/>
            <w:tcBorders>
              <w:top w:val="single" w:sz="4" w:space="0" w:color="auto"/>
              <w:bottom w:val="single" w:sz="4" w:space="0" w:color="auto"/>
            </w:tcBorders>
          </w:tcPr>
          <w:p w14:paraId="43CC6176" w14:textId="77777777" w:rsidR="00F6689C" w:rsidRPr="00F00C4B" w:rsidRDefault="00F6689C" w:rsidP="00646901">
            <w:pPr>
              <w:pStyle w:val="Keywords"/>
              <w:spacing w:before="240"/>
            </w:pPr>
            <w:r w:rsidRPr="00F00C4B">
              <w:t>Keywords:</w:t>
            </w:r>
          </w:p>
          <w:p w14:paraId="12C3CAA8" w14:textId="77777777" w:rsidR="0032288D" w:rsidRDefault="0032288D" w:rsidP="00646901">
            <w:pPr>
              <w:pStyle w:val="Keywords"/>
            </w:pPr>
            <w:r>
              <w:t>(</w:t>
            </w:r>
            <w:r w:rsidR="006370D4">
              <w:t>You should e</w:t>
            </w:r>
            <w:r w:rsidRPr="0032288D">
              <w:t>nter five keywords</w:t>
            </w:r>
            <w:r>
              <w:t>)</w:t>
            </w:r>
          </w:p>
          <w:p w14:paraId="7C4239E3" w14:textId="77777777" w:rsidR="00F6689C" w:rsidRPr="00F00C4B" w:rsidRDefault="00F6689C" w:rsidP="00646901">
            <w:pPr>
              <w:pStyle w:val="Keywords"/>
            </w:pPr>
            <w:r w:rsidRPr="00F00C4B">
              <w:t>Nano graphite platelets</w:t>
            </w:r>
          </w:p>
          <w:p w14:paraId="13B3B5C6" w14:textId="77777777" w:rsidR="00F6689C" w:rsidRPr="00F00C4B" w:rsidRDefault="00F6689C" w:rsidP="00646901">
            <w:pPr>
              <w:pStyle w:val="Keywords"/>
            </w:pPr>
            <w:r w:rsidRPr="00F00C4B">
              <w:t>Cementitious composites</w:t>
            </w:r>
          </w:p>
          <w:p w14:paraId="70512D97" w14:textId="77777777" w:rsidR="00F6689C" w:rsidRDefault="00F6689C" w:rsidP="00646901">
            <w:pPr>
              <w:pStyle w:val="Keywords"/>
            </w:pPr>
            <w:r w:rsidRPr="005046BC">
              <w:t>Electrical</w:t>
            </w:r>
            <w:r>
              <w:t xml:space="preserve"> </w:t>
            </w:r>
            <w:r w:rsidRPr="005046BC">
              <w:t>resistivity</w:t>
            </w:r>
          </w:p>
          <w:p w14:paraId="754EF0B0" w14:textId="77777777" w:rsidR="00F6689C" w:rsidRPr="00F6689C" w:rsidRDefault="00F6689C" w:rsidP="00646901">
            <w:pPr>
              <w:pStyle w:val="Keywords"/>
            </w:pPr>
            <w:r w:rsidRPr="005046BC">
              <w:t>Piezoresistivity</w:t>
            </w:r>
          </w:p>
        </w:tc>
        <w:tc>
          <w:tcPr>
            <w:tcW w:w="7767" w:type="dxa"/>
            <w:vMerge w:val="restart"/>
          </w:tcPr>
          <w:p w14:paraId="520CE47F" w14:textId="77777777" w:rsidR="00E867F4" w:rsidRPr="00E867F4" w:rsidRDefault="00E867F4" w:rsidP="00E867F4">
            <w:pPr>
              <w:pStyle w:val="Resumen-Abstract"/>
            </w:pPr>
            <w:r w:rsidRPr="00E867F4">
              <w:t>Fibre-reinforced polymer composites are materials capable of reducing weight while maintaining optimised properties in multiple applications. However, the use of composite materials is not suitable for all sectors, where the need for improved fire properties is highlighted.</w:t>
            </w:r>
          </w:p>
          <w:p w14:paraId="53A6C1E3" w14:textId="22598C20" w:rsidR="00E867F4" w:rsidRPr="00E867F4" w:rsidRDefault="00E867F4" w:rsidP="00E867F4">
            <w:pPr>
              <w:pStyle w:val="Resumen-Abstract"/>
            </w:pPr>
            <w:r w:rsidRPr="00E867F4">
              <w:t>In the present study, a thermosetting matrix composed of UV-curable acrylic monomers and UV-transparent aluminium trihydrate (ATH) flame retardant fillers ha</w:t>
            </w:r>
            <w:r w:rsidR="0086121B">
              <w:t>s</w:t>
            </w:r>
            <w:r w:rsidRPr="00E867F4">
              <w:t xml:space="preserve"> been added to UV-transparent </w:t>
            </w:r>
            <w:r w:rsidR="006E71BF">
              <w:t>polyester resin</w:t>
            </w:r>
            <w:r w:rsidRPr="00E867F4">
              <w:t xml:space="preserve"> for the manufacture of flame retardant composites. An in-depth study of the most suitable types of ATH-based flame retardant additives and possible synergistic combinations to improve the fire performance of the UV-curable composite has been carried out. Not only has the type of flame retardant been studied, but also the most suitable additive percentage to comply with railway sector regulations. </w:t>
            </w:r>
          </w:p>
          <w:p w14:paraId="62BD6046" w14:textId="48CC3978" w:rsidR="00F6689C" w:rsidRPr="00E330E7" w:rsidRDefault="00E867F4" w:rsidP="00E867F4">
            <w:pPr>
              <w:pStyle w:val="Resumen-Abstract"/>
            </w:pPr>
            <w:r w:rsidRPr="00E867F4">
              <w:t>The compatibility between the fillers and the matrix has been analysed by means of dielectric analysis, as well as the properties of the matrix and final composites against fire and mechanical properties.</w:t>
            </w:r>
          </w:p>
        </w:tc>
      </w:tr>
      <w:tr w:rsidR="00F6689C" w:rsidRPr="00E5344E" w14:paraId="659E7CD5" w14:textId="77777777" w:rsidTr="008D6516">
        <w:trPr>
          <w:trHeight w:val="2183"/>
        </w:trPr>
        <w:tc>
          <w:tcPr>
            <w:tcW w:w="2381" w:type="dxa"/>
            <w:tcBorders>
              <w:top w:val="single" w:sz="4" w:space="0" w:color="auto"/>
            </w:tcBorders>
          </w:tcPr>
          <w:p w14:paraId="6134366A" w14:textId="77777777" w:rsidR="00F6689C" w:rsidRPr="006D2E8C" w:rsidRDefault="00F6689C" w:rsidP="00F6689C">
            <w:pPr>
              <w:spacing w:after="60"/>
              <w:ind w:left="-108" w:right="567"/>
              <w:jc w:val="left"/>
              <w:rPr>
                <w:sz w:val="14"/>
                <w:szCs w:val="14"/>
                <w:lang w:val="en-GB"/>
              </w:rPr>
            </w:pPr>
          </w:p>
        </w:tc>
        <w:tc>
          <w:tcPr>
            <w:tcW w:w="7767" w:type="dxa"/>
            <w:vMerge/>
          </w:tcPr>
          <w:p w14:paraId="2B187DCA" w14:textId="77777777" w:rsidR="00F6689C" w:rsidRPr="006D2E8C" w:rsidRDefault="00F6689C" w:rsidP="00F6689C">
            <w:pPr>
              <w:ind w:right="-106"/>
              <w:rPr>
                <w:sz w:val="16"/>
                <w:szCs w:val="16"/>
                <w:lang w:val="en-GB"/>
              </w:rPr>
            </w:pPr>
          </w:p>
        </w:tc>
      </w:tr>
    </w:tbl>
    <w:p w14:paraId="0C27D80A" w14:textId="77777777" w:rsidR="008D6516" w:rsidRPr="006D2E8C" w:rsidRDefault="008D6516">
      <w:pPr>
        <w:spacing w:after="160"/>
        <w:jc w:val="left"/>
        <w:rPr>
          <w:sz w:val="20"/>
          <w:szCs w:val="20"/>
          <w:lang w:val="en-GB"/>
        </w:rPr>
        <w:sectPr w:rsidR="008D6516" w:rsidRPr="006D2E8C" w:rsidSect="00B9338F">
          <w:headerReference w:type="default" r:id="rId10"/>
          <w:footerReference w:type="default" r:id="rId11"/>
          <w:pgSz w:w="11906" w:h="16838"/>
          <w:pgMar w:top="2836" w:right="0" w:bottom="1418" w:left="284" w:header="0" w:footer="617" w:gutter="0"/>
          <w:cols w:space="708"/>
          <w:docGrid w:linePitch="360"/>
        </w:sectPr>
      </w:pPr>
    </w:p>
    <w:p w14:paraId="6F97B73F" w14:textId="5FE94F35" w:rsidR="00694B32" w:rsidRPr="009C40E5" w:rsidRDefault="00F7207A" w:rsidP="009C40E5">
      <w:pPr>
        <w:pStyle w:val="Ttulo1"/>
      </w:pPr>
      <w:r w:rsidRPr="009C40E5">
        <w:lastRenderedPageBreak/>
        <w:t>Introducción</w:t>
      </w:r>
    </w:p>
    <w:p w14:paraId="5243939E" w14:textId="77777777" w:rsidR="00747DBA" w:rsidRPr="00747DBA" w:rsidRDefault="00747DBA" w:rsidP="00747DBA">
      <w:pPr>
        <w:rPr>
          <w:noProof/>
        </w:rPr>
      </w:pPr>
      <w:r w:rsidRPr="00747DBA">
        <w:rPr>
          <w:noProof/>
        </w:rPr>
        <w:t>Las industrias ferroviarias europeas necesitan un cambio en términos de tecnologías y diseño para la próxima generación de vehículos ferroviarios para seguir siendo competitivos a nivel mundial. Para ello, materiales innovadores como los materiales compuestos son clave para su aplicación en el sector ferroviario.</w:t>
      </w:r>
    </w:p>
    <w:p w14:paraId="05830159" w14:textId="77777777" w:rsidR="00747DBA" w:rsidRPr="00747DBA" w:rsidRDefault="00747DBA" w:rsidP="00747DBA">
      <w:pPr>
        <w:rPr>
          <w:noProof/>
        </w:rPr>
      </w:pPr>
      <w:r w:rsidRPr="00747DBA">
        <w:rPr>
          <w:noProof/>
        </w:rPr>
        <w:t xml:space="preserve">Los materiales compuestos, poseen propiedades únicas (ligereza, reparabilidad, resistencia a la corrosión...) y han demostrado presentar un potencial indiscutible en términos de ligereza, reparabilidad, resistencia a la corrosión, en sectores como el aeronáutico y automoción. Los materiales compuestos se han utilizado en aplicaciones resistentes al fuego durante décadas. Por lo general, las fibras inorgánicas (vidrio, carbono, basalto, cerámica) y los materiales de matriz inorgánica (cerámica, carbono, metales) no arden y la mayoría pueden soportar altas temperaturas. Sin embargo, cuando la mayoría de las fibras orgánicas y las matrices poliméricas se exponen a altas temperaturas y al fuego, se descomponen en i) volátiles no inflamables (CO2 y agua), ii) volátiles inflamables (CO y metano) que reaccionan con el oxígeno para alimentar el fuego, iii) carbón sólido y iv) humo que puede incluir gases tóxicos [1]. Sin embargo, en lo que se refiere al proceso de fabricación y propiedades frente al fuego de los composites, en la actualidad no se disponen de procesos fabricación de composites competitivos económicamente y que a su vez cumplan con las exigencias frente al fuego exigidas por la industria. </w:t>
      </w:r>
    </w:p>
    <w:p w14:paraId="0DD76ADB" w14:textId="77777777" w:rsidR="00747DBA" w:rsidRPr="00747DBA" w:rsidRDefault="00747DBA" w:rsidP="00747DBA">
      <w:pPr>
        <w:rPr>
          <w:noProof/>
        </w:rPr>
      </w:pPr>
      <w:r w:rsidRPr="00747DBA">
        <w:rPr>
          <w:noProof/>
        </w:rPr>
        <w:t>Por ello, se ha investigado sobre la posibilidad de fabricar composites de carácter ignífugo a partir de resinas de curado ultravioleta (UV), abordando la fabricación rentable de composites basados en fibra de vidrio mediante curados ultrarrápidos UV, y mediante la formulación de la resina UV con retardantes de llama de tipo mineral como el trihidrato de aluminio (ATH) [2,3]. El principal beneficio de este tipo de aditivos ignifugantes es que, en caso de incendio, el agua, originariamente incorporada como hidrato, es liberada. Esta reacción tiene como consecuencia, por una parte, un efecto refrigerante y, por otra, que los gases generados por el incendio son diluidos por el agua. Sin embargo, debido a las estrictas normativas en los sectores de la construcción y el transporte son necesarios elevados grados de carga [4].</w:t>
      </w:r>
    </w:p>
    <w:p w14:paraId="1C2B1DE4" w14:textId="77777777" w:rsidR="00747DBA" w:rsidRPr="00747DBA" w:rsidRDefault="00747DBA" w:rsidP="00747DBA">
      <w:pPr>
        <w:rPr>
          <w:noProof/>
        </w:rPr>
      </w:pPr>
      <w:r w:rsidRPr="00747DBA">
        <w:rPr>
          <w:noProof/>
        </w:rPr>
        <w:t>En el presente trabajo, se ha investigado el grado de curado de los materiales ignífugos obtenidos mediante el análisis dieléctrico (DEA), el contenido de fibra mediante la calcinación y las propiedades ignífugas mediante el cono calorimétrico, la densidad del humo y la toxicidad del gas y la propagación lateral de la llama, así como las propiedades mecánicas de los composites ignífugos obtenidos.</w:t>
      </w:r>
    </w:p>
    <w:p w14:paraId="3E8FC9FC" w14:textId="1A0B1282" w:rsidR="00747DBA" w:rsidRPr="00747DBA" w:rsidRDefault="00747DBA" w:rsidP="00747DBA">
      <w:pPr>
        <w:rPr>
          <w:noProof/>
        </w:rPr>
      </w:pPr>
      <w:r w:rsidRPr="00747DBA">
        <w:rPr>
          <w:noProof/>
        </w:rPr>
        <w:t>Estos resultados se incluyen el proyecto AVANSITE (Elkartek 2019-2021) en el que ha colaborado IDEKO (</w:t>
      </w:r>
      <w:hyperlink r:id="rId12" w:history="1">
        <w:r w:rsidRPr="00A93A2C">
          <w:rPr>
            <w:rStyle w:val="Hipervnculo"/>
            <w:noProof/>
          </w:rPr>
          <w:t>https://www.ideko.es/es/oferta-industria/proyectos/avansite</w:t>
        </w:r>
      </w:hyperlink>
      <w:r>
        <w:rPr>
          <w:noProof/>
        </w:rPr>
        <w:t>)</w:t>
      </w:r>
      <w:r w:rsidRPr="00747DBA">
        <w:rPr>
          <w:noProof/>
        </w:rPr>
        <w:t xml:space="preserve"> </w:t>
      </w:r>
    </w:p>
    <w:p w14:paraId="41E6CAA7" w14:textId="47C7407E" w:rsidR="00694B32" w:rsidRDefault="00747DBA" w:rsidP="009C40E5">
      <w:pPr>
        <w:pStyle w:val="Ttulo1"/>
      </w:pPr>
      <w:r>
        <w:t>Metodología experimental</w:t>
      </w:r>
    </w:p>
    <w:p w14:paraId="420207AD" w14:textId="564C35C2" w:rsidR="00747DBA" w:rsidRPr="00747DBA" w:rsidRDefault="00747DBA" w:rsidP="00747DBA">
      <w:pPr>
        <w:pStyle w:val="Ttulo2"/>
        <w:ind w:left="397" w:hanging="397"/>
        <w:rPr>
          <w:noProof/>
        </w:rPr>
      </w:pPr>
      <w:r w:rsidRPr="00747DBA">
        <w:rPr>
          <w:noProof/>
        </w:rPr>
        <w:t>Material</w:t>
      </w:r>
      <w:r>
        <w:rPr>
          <w:noProof/>
        </w:rPr>
        <w:t>es</w:t>
      </w:r>
    </w:p>
    <w:p w14:paraId="0593FCFB" w14:textId="6F39E226" w:rsidR="00747DBA" w:rsidRPr="00747DBA" w:rsidRDefault="00747DBA" w:rsidP="00747DBA">
      <w:pPr>
        <w:rPr>
          <w:noProof/>
        </w:rPr>
      </w:pPr>
      <w:r w:rsidRPr="00747DBA">
        <w:rPr>
          <w:noProof/>
        </w:rPr>
        <w:t xml:space="preserve">El composite con propiedades ignífugas fabricado en el presente estudio es un poliéster acrílico reforzado con fibra de </w:t>
      </w:r>
      <w:r w:rsidRPr="00747DBA">
        <w:rPr>
          <w:noProof/>
        </w:rPr>
        <w:t xml:space="preserve">vidrio y cargas de tipo ATH. EL refuerzo está compuesto por tres tipos de tejido tipo MAT (225, 300, 450 g/m2) y un tejido combinado compuesto por tejido woven y tejido tipo COMBI de 500 g/m2. El composite final está compuesto por una capa de prepreg UV de cada uno de los tipos de tejidos descritos. La resina está formulada por dos poliésteres fotocurables (TES 21100 y VT50) y un monómero acrílico (VTC5) suministrado por IVM Chemicals. El fotoiniciador es bis (2,4,6-trimetilbenzoil)-fenilfosfano (BAPO), de nombre comercial Irgacure® 819 suministrado por BASF. Los aditivos ignífugos estudiados fueron en base trihidrato de aluminio (ATH) con nombre comercial Apyral 20X, 30X, 22 y 33, suministrados amablemente por Nabaltec. Los diferentes grados de Apyral principalmente se diferencian en el comportamiento de la viscosidad relativa, en función de la presencia de la carga en la mezcla con la resina y en el sedimento producido a lo largo del tiempo mostrado en la </w:t>
      </w:r>
      <w:r w:rsidR="007B69B1">
        <w:rPr>
          <w:noProof/>
        </w:rPr>
        <w:fldChar w:fldCharType="begin"/>
      </w:r>
      <w:r w:rsidR="007B69B1">
        <w:rPr>
          <w:noProof/>
        </w:rPr>
        <w:instrText xml:space="preserve"> REF _Ref102215967 \h  \* MERGEFORMAT </w:instrText>
      </w:r>
      <w:r w:rsidR="007B69B1">
        <w:rPr>
          <w:noProof/>
        </w:rPr>
      </w:r>
      <w:r w:rsidR="007B69B1">
        <w:rPr>
          <w:noProof/>
        </w:rPr>
        <w:fldChar w:fldCharType="separate"/>
      </w:r>
      <w:r w:rsidR="0091047C" w:rsidRPr="0091047C">
        <w:rPr>
          <w:noProof/>
        </w:rPr>
        <w:t>Figura 1</w:t>
      </w:r>
      <w:r w:rsidR="007B69B1">
        <w:rPr>
          <w:noProof/>
        </w:rPr>
        <w:fldChar w:fldCharType="end"/>
      </w:r>
      <w:r w:rsidR="007B69B1">
        <w:rPr>
          <w:noProof/>
        </w:rPr>
        <w:t>.</w:t>
      </w:r>
    </w:p>
    <w:p w14:paraId="42F2239B" w14:textId="48CE0430" w:rsidR="00195884" w:rsidRDefault="00747DBA" w:rsidP="00F7207A">
      <w:pPr>
        <w:rPr>
          <w:noProof/>
          <w:szCs w:val="18"/>
          <w:lang w:val="en-GB"/>
        </w:rPr>
      </w:pPr>
      <w:r w:rsidRPr="00FD2396">
        <w:rPr>
          <w:noProof/>
        </w:rPr>
        <w:drawing>
          <wp:inline distT="0" distB="0" distL="0" distR="0" wp14:anchorId="22838101" wp14:editId="04439F08">
            <wp:extent cx="3194685" cy="2468851"/>
            <wp:effectExtent l="0" t="0" r="571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4685" cy="2468851"/>
                    </a:xfrm>
                    <a:prstGeom prst="rect">
                      <a:avLst/>
                    </a:prstGeom>
                    <a:noFill/>
                    <a:ln>
                      <a:noFill/>
                    </a:ln>
                  </pic:spPr>
                </pic:pic>
              </a:graphicData>
            </a:graphic>
          </wp:inline>
        </w:drawing>
      </w:r>
    </w:p>
    <w:p w14:paraId="5E4CD1BD" w14:textId="5CA8A420" w:rsidR="00195884" w:rsidRPr="007B69B1" w:rsidRDefault="007B69B1" w:rsidP="007B69B1">
      <w:pPr>
        <w:pStyle w:val="Descripcin"/>
        <w:rPr>
          <w:b w:val="0"/>
          <w:bCs w:val="0"/>
          <w:color w:val="auto"/>
          <w:sz w:val="16"/>
          <w:szCs w:val="16"/>
        </w:rPr>
      </w:pPr>
      <w:bookmarkStart w:id="0" w:name="_Ref102215967"/>
      <w:r w:rsidRPr="007B69B1">
        <w:rPr>
          <w:bCs w:val="0"/>
          <w:noProof/>
          <w:color w:val="auto"/>
          <w:sz w:val="16"/>
          <w:szCs w:val="16"/>
        </w:rPr>
        <w:t xml:space="preserve">Figura </w:t>
      </w:r>
      <w:r w:rsidRPr="007B69B1">
        <w:rPr>
          <w:bCs w:val="0"/>
          <w:noProof/>
          <w:color w:val="auto"/>
          <w:sz w:val="16"/>
          <w:szCs w:val="16"/>
        </w:rPr>
        <w:fldChar w:fldCharType="begin"/>
      </w:r>
      <w:r w:rsidRPr="007B69B1">
        <w:rPr>
          <w:bCs w:val="0"/>
          <w:noProof/>
          <w:color w:val="auto"/>
          <w:sz w:val="16"/>
          <w:szCs w:val="16"/>
        </w:rPr>
        <w:instrText xml:space="preserve"> SEQ Figura \* ARABIC </w:instrText>
      </w:r>
      <w:r w:rsidRPr="007B69B1">
        <w:rPr>
          <w:bCs w:val="0"/>
          <w:noProof/>
          <w:color w:val="auto"/>
          <w:sz w:val="16"/>
          <w:szCs w:val="16"/>
        </w:rPr>
        <w:fldChar w:fldCharType="separate"/>
      </w:r>
      <w:r w:rsidR="0091047C">
        <w:rPr>
          <w:bCs w:val="0"/>
          <w:noProof/>
          <w:color w:val="auto"/>
          <w:sz w:val="16"/>
          <w:szCs w:val="16"/>
        </w:rPr>
        <w:t>1</w:t>
      </w:r>
      <w:r w:rsidRPr="007B69B1">
        <w:rPr>
          <w:bCs w:val="0"/>
          <w:noProof/>
          <w:color w:val="auto"/>
          <w:sz w:val="16"/>
          <w:szCs w:val="16"/>
        </w:rPr>
        <w:fldChar w:fldCharType="end"/>
      </w:r>
      <w:bookmarkEnd w:id="0"/>
      <w:r>
        <w:rPr>
          <w:noProof/>
          <w:sz w:val="16"/>
          <w:szCs w:val="16"/>
        </w:rPr>
        <w:t xml:space="preserve"> </w:t>
      </w:r>
      <w:r w:rsidR="00747DBA" w:rsidRPr="007B69B1">
        <w:rPr>
          <w:b w:val="0"/>
          <w:bCs w:val="0"/>
          <w:color w:val="auto"/>
          <w:sz w:val="16"/>
          <w:szCs w:val="16"/>
        </w:rPr>
        <w:t>Comportamiento de la viscosidad relativa en función de la presencia de la carga en la mezcla con la resina y en el sedimento producido a lo largo del tiempo.</w:t>
      </w:r>
    </w:p>
    <w:p w14:paraId="49A98216" w14:textId="665FD6E4" w:rsidR="006D2E8C" w:rsidRDefault="00747DBA" w:rsidP="00132F3B">
      <w:pPr>
        <w:pStyle w:val="Ttulo2"/>
        <w:rPr>
          <w:noProof/>
        </w:rPr>
      </w:pPr>
      <w:r>
        <w:rPr>
          <w:noProof/>
        </w:rPr>
        <w:t>Preparación formulaciones</w:t>
      </w:r>
    </w:p>
    <w:p w14:paraId="74281B78" w14:textId="25A937B3" w:rsidR="00747DBA" w:rsidRDefault="00747DBA" w:rsidP="003671F7">
      <w:pPr>
        <w:autoSpaceDE w:val="0"/>
        <w:autoSpaceDN w:val="0"/>
        <w:adjustRightInd w:val="0"/>
        <w:rPr>
          <w:bCs/>
          <w:sz w:val="22"/>
        </w:rPr>
      </w:pPr>
      <w:r w:rsidRPr="00747DBA">
        <w:rPr>
          <w:noProof/>
        </w:rPr>
        <w:t xml:space="preserve">Las formulaciones compuestas por resina y cargas ignífugas se prepararon por agitación durante 15 minutos a 60ºC. En la </w:t>
      </w:r>
      <w:r w:rsidRPr="00747DBA">
        <w:rPr>
          <w:noProof/>
        </w:rPr>
        <w:fldChar w:fldCharType="begin"/>
      </w:r>
      <w:r w:rsidRPr="00747DBA">
        <w:rPr>
          <w:noProof/>
        </w:rPr>
        <w:instrText xml:space="preserve"> REF _Ref102050047 \h  \* MERGEFORMAT </w:instrText>
      </w:r>
      <w:r w:rsidRPr="00747DBA">
        <w:rPr>
          <w:noProof/>
        </w:rPr>
      </w:r>
      <w:r w:rsidRPr="00747DBA">
        <w:rPr>
          <w:noProof/>
        </w:rPr>
        <w:fldChar w:fldCharType="separate"/>
      </w:r>
      <w:r w:rsidR="0091047C" w:rsidRPr="0091047C">
        <w:rPr>
          <w:noProof/>
        </w:rPr>
        <w:t>Tabla 1</w:t>
      </w:r>
      <w:r w:rsidRPr="00747DBA">
        <w:rPr>
          <w:noProof/>
        </w:rPr>
        <w:fldChar w:fldCharType="end"/>
      </w:r>
      <w:r w:rsidRPr="00747DBA">
        <w:rPr>
          <w:noProof/>
        </w:rPr>
        <w:t xml:space="preserve"> se muestran las formulaciones preparadas en función de la cantidad de ignifugante. Se preparó una formulación base sin ignifugante, como muestra de control. Las resinas aditivadas se prepararon según las siguientes cantidades y tipos de ignifugantes</w:t>
      </w:r>
      <w:r>
        <w:rPr>
          <w:bCs/>
          <w:sz w:val="22"/>
        </w:rPr>
        <w:t>.</w:t>
      </w:r>
    </w:p>
    <w:p w14:paraId="7F0A34AB" w14:textId="0BB3E48E" w:rsidR="00747DBA" w:rsidRDefault="00747DBA" w:rsidP="003671F7">
      <w:pPr>
        <w:autoSpaceDE w:val="0"/>
        <w:autoSpaceDN w:val="0"/>
        <w:adjustRightInd w:val="0"/>
        <w:spacing w:after="0"/>
        <w:rPr>
          <w:bCs/>
          <w:sz w:val="22"/>
        </w:rPr>
      </w:pPr>
      <w:bookmarkStart w:id="1" w:name="_Ref102050047"/>
      <w:r w:rsidRPr="00747DBA">
        <w:rPr>
          <w:b/>
          <w:noProof/>
          <w:sz w:val="16"/>
          <w:szCs w:val="16"/>
        </w:rPr>
        <w:t xml:space="preserve">Tabla </w:t>
      </w:r>
      <w:r w:rsidRPr="00747DBA">
        <w:rPr>
          <w:b/>
          <w:noProof/>
          <w:sz w:val="16"/>
          <w:szCs w:val="16"/>
        </w:rPr>
        <w:fldChar w:fldCharType="begin"/>
      </w:r>
      <w:r w:rsidRPr="00747DBA">
        <w:rPr>
          <w:b/>
          <w:noProof/>
          <w:sz w:val="16"/>
          <w:szCs w:val="16"/>
        </w:rPr>
        <w:instrText xml:space="preserve"> SEQ Tabla \* ARABIC </w:instrText>
      </w:r>
      <w:r w:rsidRPr="00747DBA">
        <w:rPr>
          <w:b/>
          <w:noProof/>
          <w:sz w:val="16"/>
          <w:szCs w:val="16"/>
        </w:rPr>
        <w:fldChar w:fldCharType="separate"/>
      </w:r>
      <w:r w:rsidR="0091047C">
        <w:rPr>
          <w:b/>
          <w:noProof/>
          <w:sz w:val="16"/>
          <w:szCs w:val="16"/>
        </w:rPr>
        <w:t>1</w:t>
      </w:r>
      <w:r w:rsidRPr="00747DBA">
        <w:rPr>
          <w:b/>
          <w:noProof/>
          <w:sz w:val="16"/>
          <w:szCs w:val="16"/>
        </w:rPr>
        <w:fldChar w:fldCharType="end"/>
      </w:r>
      <w:bookmarkEnd w:id="1"/>
      <w:r w:rsidRPr="006C6F25">
        <w:rPr>
          <w:sz w:val="16"/>
          <w:szCs w:val="16"/>
        </w:rPr>
        <w:t xml:space="preserve"> Formulaciones preparadas con mezclas de resina/</w:t>
      </w:r>
      <w:proofErr w:type="spellStart"/>
      <w:r>
        <w:rPr>
          <w:sz w:val="16"/>
          <w:szCs w:val="16"/>
        </w:rPr>
        <w:t>ignifugante</w:t>
      </w:r>
      <w:proofErr w:type="spellEnd"/>
      <w:r>
        <w:rPr>
          <w:sz w:val="16"/>
          <w:szCs w:val="16"/>
        </w:rPr>
        <w:t>.</w:t>
      </w:r>
    </w:p>
    <w:tbl>
      <w:tblPr>
        <w:tblStyle w:val="Tabladecuadrcula3"/>
        <w:tblW w:w="0" w:type="auto"/>
        <w:jc w:val="center"/>
        <w:tblLook w:val="0600" w:firstRow="0" w:lastRow="0" w:firstColumn="0" w:lastColumn="0" w:noHBand="1" w:noVBand="1"/>
      </w:tblPr>
      <w:tblGrid>
        <w:gridCol w:w="1107"/>
        <w:gridCol w:w="506"/>
        <w:gridCol w:w="1347"/>
      </w:tblGrid>
      <w:tr w:rsidR="00747DBA" w:rsidRPr="006C6F25" w14:paraId="2A6CE70C" w14:textId="77777777" w:rsidTr="005D5D6A">
        <w:trPr>
          <w:trHeight w:val="20"/>
          <w:jc w:val="center"/>
        </w:trPr>
        <w:tc>
          <w:tcPr>
            <w:tcW w:w="0" w:type="auto"/>
            <w:vAlign w:val="center"/>
            <w:hideMark/>
          </w:tcPr>
          <w:p w14:paraId="18E35581" w14:textId="77777777" w:rsidR="00747DBA" w:rsidRPr="005D5D6A" w:rsidRDefault="00747DBA" w:rsidP="005D5D6A">
            <w:pPr>
              <w:spacing w:before="0" w:after="0"/>
              <w:jc w:val="left"/>
              <w:rPr>
                <w:b/>
                <w:bCs/>
                <w:noProof/>
                <w:szCs w:val="18"/>
                <w:lang w:val="fr-FR"/>
              </w:rPr>
            </w:pPr>
            <w:r w:rsidRPr="005D5D6A">
              <w:rPr>
                <w:b/>
                <w:bCs/>
                <w:noProof/>
                <w:szCs w:val="18"/>
                <w:lang w:val="fr-FR"/>
              </w:rPr>
              <w:t>Producto</w:t>
            </w:r>
          </w:p>
        </w:tc>
        <w:tc>
          <w:tcPr>
            <w:tcW w:w="0" w:type="auto"/>
            <w:vAlign w:val="center"/>
            <w:hideMark/>
          </w:tcPr>
          <w:p w14:paraId="6453F1A7" w14:textId="77777777" w:rsidR="00747DBA" w:rsidRPr="005D5D6A" w:rsidRDefault="00747DBA" w:rsidP="005D5D6A">
            <w:pPr>
              <w:spacing w:before="0" w:after="0"/>
              <w:jc w:val="left"/>
              <w:rPr>
                <w:b/>
                <w:bCs/>
                <w:noProof/>
                <w:szCs w:val="18"/>
                <w:lang w:val="fr-FR"/>
              </w:rPr>
            </w:pPr>
            <w:r w:rsidRPr="005D5D6A">
              <w:rPr>
                <w:b/>
                <w:bCs/>
                <w:noProof/>
                <w:szCs w:val="18"/>
                <w:lang w:val="fr-FR"/>
              </w:rPr>
              <w:t>phr</w:t>
            </w:r>
          </w:p>
        </w:tc>
        <w:tc>
          <w:tcPr>
            <w:tcW w:w="0" w:type="auto"/>
            <w:vAlign w:val="center"/>
          </w:tcPr>
          <w:p w14:paraId="036A91ED" w14:textId="77777777" w:rsidR="00747DBA" w:rsidRPr="005D5D6A" w:rsidRDefault="00747DBA" w:rsidP="005D5D6A">
            <w:pPr>
              <w:spacing w:before="0" w:after="0"/>
              <w:jc w:val="left"/>
              <w:rPr>
                <w:b/>
                <w:bCs/>
                <w:noProof/>
                <w:szCs w:val="18"/>
                <w:lang w:val="fr-FR"/>
              </w:rPr>
            </w:pPr>
            <w:r w:rsidRPr="005D5D6A">
              <w:rPr>
                <w:b/>
                <w:bCs/>
                <w:noProof/>
                <w:szCs w:val="18"/>
                <w:lang w:val="fr-FR"/>
              </w:rPr>
              <w:t>Referencia</w:t>
            </w:r>
          </w:p>
        </w:tc>
      </w:tr>
      <w:tr w:rsidR="00747DBA" w:rsidRPr="006C6F25" w14:paraId="11CDD2E4" w14:textId="77777777" w:rsidTr="005D5D6A">
        <w:trPr>
          <w:trHeight w:val="20"/>
          <w:jc w:val="center"/>
        </w:trPr>
        <w:tc>
          <w:tcPr>
            <w:tcW w:w="0" w:type="auto"/>
            <w:vAlign w:val="center"/>
            <w:hideMark/>
          </w:tcPr>
          <w:p w14:paraId="2EE888CF" w14:textId="77777777" w:rsidR="00747DBA" w:rsidRPr="005D5D6A" w:rsidRDefault="00747DBA" w:rsidP="005D5D6A">
            <w:pPr>
              <w:spacing w:before="0" w:after="0"/>
              <w:jc w:val="left"/>
              <w:rPr>
                <w:b/>
                <w:bCs/>
                <w:noProof/>
                <w:szCs w:val="18"/>
                <w:lang w:val="fr-FR"/>
              </w:rPr>
            </w:pPr>
            <w:r w:rsidRPr="005D5D6A">
              <w:rPr>
                <w:b/>
                <w:bCs/>
                <w:noProof/>
                <w:szCs w:val="18"/>
                <w:lang w:val="fr-FR"/>
              </w:rPr>
              <w:t>Resina UV</w:t>
            </w:r>
          </w:p>
        </w:tc>
        <w:tc>
          <w:tcPr>
            <w:tcW w:w="0" w:type="auto"/>
            <w:vAlign w:val="center"/>
            <w:hideMark/>
          </w:tcPr>
          <w:p w14:paraId="29D531AF" w14:textId="77777777" w:rsidR="00747DBA" w:rsidRPr="005D5D6A" w:rsidRDefault="00747DBA" w:rsidP="005D5D6A">
            <w:pPr>
              <w:spacing w:before="0" w:after="0"/>
              <w:jc w:val="left"/>
              <w:rPr>
                <w:noProof/>
                <w:szCs w:val="18"/>
                <w:lang w:val="fr-FR"/>
              </w:rPr>
            </w:pPr>
            <w:r w:rsidRPr="005D5D6A">
              <w:rPr>
                <w:noProof/>
                <w:szCs w:val="18"/>
                <w:lang w:val="fr-FR"/>
              </w:rPr>
              <w:t>0</w:t>
            </w:r>
          </w:p>
        </w:tc>
        <w:tc>
          <w:tcPr>
            <w:tcW w:w="0" w:type="auto"/>
            <w:vAlign w:val="center"/>
          </w:tcPr>
          <w:p w14:paraId="72DFE129" w14:textId="77777777" w:rsidR="00747DBA" w:rsidRPr="005D5D6A" w:rsidRDefault="00747DBA" w:rsidP="005D5D6A">
            <w:pPr>
              <w:spacing w:before="0" w:after="0"/>
              <w:jc w:val="left"/>
              <w:rPr>
                <w:noProof/>
                <w:szCs w:val="18"/>
                <w:lang w:val="fr-FR"/>
              </w:rPr>
            </w:pPr>
            <w:r w:rsidRPr="005D5D6A">
              <w:rPr>
                <w:noProof/>
                <w:szCs w:val="18"/>
                <w:lang w:val="fr-FR"/>
              </w:rPr>
              <w:t>Resin</w:t>
            </w:r>
          </w:p>
        </w:tc>
      </w:tr>
      <w:tr w:rsidR="00747DBA" w:rsidRPr="006C6F25" w14:paraId="65772C33" w14:textId="77777777" w:rsidTr="005D5D6A">
        <w:trPr>
          <w:trHeight w:val="20"/>
          <w:jc w:val="center"/>
        </w:trPr>
        <w:tc>
          <w:tcPr>
            <w:tcW w:w="0" w:type="auto"/>
            <w:vMerge w:val="restart"/>
            <w:vAlign w:val="center"/>
            <w:hideMark/>
          </w:tcPr>
          <w:p w14:paraId="20202502" w14:textId="77777777" w:rsidR="00747DBA" w:rsidRPr="005D5D6A" w:rsidRDefault="00747DBA" w:rsidP="005D5D6A">
            <w:pPr>
              <w:spacing w:before="0" w:after="0"/>
              <w:jc w:val="left"/>
              <w:rPr>
                <w:b/>
                <w:bCs/>
                <w:noProof/>
                <w:szCs w:val="18"/>
                <w:lang w:val="fr-FR"/>
              </w:rPr>
            </w:pPr>
            <w:r w:rsidRPr="005D5D6A">
              <w:rPr>
                <w:b/>
                <w:bCs/>
                <w:noProof/>
                <w:szCs w:val="18"/>
                <w:lang w:val="fr-FR"/>
              </w:rPr>
              <w:t>Apyral20X</w:t>
            </w:r>
          </w:p>
        </w:tc>
        <w:tc>
          <w:tcPr>
            <w:tcW w:w="0" w:type="auto"/>
            <w:vAlign w:val="center"/>
            <w:hideMark/>
          </w:tcPr>
          <w:p w14:paraId="0C388FB4" w14:textId="77777777" w:rsidR="00747DBA" w:rsidRPr="005D5D6A" w:rsidRDefault="00747DBA" w:rsidP="005D5D6A">
            <w:pPr>
              <w:spacing w:before="0" w:after="0"/>
              <w:jc w:val="left"/>
              <w:rPr>
                <w:noProof/>
                <w:szCs w:val="18"/>
                <w:lang w:val="fr-FR"/>
              </w:rPr>
            </w:pPr>
            <w:r w:rsidRPr="005D5D6A">
              <w:rPr>
                <w:noProof/>
                <w:szCs w:val="18"/>
                <w:lang w:val="fr-FR"/>
              </w:rPr>
              <w:t>20</w:t>
            </w:r>
          </w:p>
        </w:tc>
        <w:tc>
          <w:tcPr>
            <w:tcW w:w="0" w:type="auto"/>
            <w:vAlign w:val="center"/>
          </w:tcPr>
          <w:p w14:paraId="70ED94ED" w14:textId="77777777" w:rsidR="00747DBA" w:rsidRPr="005D5D6A" w:rsidRDefault="00747DBA" w:rsidP="005D5D6A">
            <w:pPr>
              <w:spacing w:before="0" w:after="0"/>
              <w:jc w:val="left"/>
              <w:rPr>
                <w:noProof/>
                <w:szCs w:val="18"/>
                <w:lang w:val="fr-FR"/>
              </w:rPr>
            </w:pPr>
            <w:r w:rsidRPr="005D5D6A">
              <w:rPr>
                <w:noProof/>
                <w:szCs w:val="18"/>
                <w:lang w:val="fr-FR"/>
              </w:rPr>
              <w:t>Apyral20-20%</w:t>
            </w:r>
          </w:p>
        </w:tc>
      </w:tr>
      <w:tr w:rsidR="00747DBA" w:rsidRPr="006C6F25" w14:paraId="2751D544" w14:textId="77777777" w:rsidTr="005D5D6A">
        <w:trPr>
          <w:trHeight w:val="20"/>
          <w:jc w:val="center"/>
        </w:trPr>
        <w:tc>
          <w:tcPr>
            <w:tcW w:w="0" w:type="auto"/>
            <w:vMerge/>
            <w:vAlign w:val="center"/>
            <w:hideMark/>
          </w:tcPr>
          <w:p w14:paraId="27E79425" w14:textId="77777777" w:rsidR="00747DBA" w:rsidRPr="005D5D6A" w:rsidRDefault="00747DBA" w:rsidP="005D5D6A">
            <w:pPr>
              <w:spacing w:before="0" w:after="0"/>
              <w:jc w:val="left"/>
              <w:rPr>
                <w:b/>
                <w:bCs/>
                <w:noProof/>
                <w:szCs w:val="18"/>
                <w:lang w:val="fr-FR"/>
              </w:rPr>
            </w:pPr>
          </w:p>
        </w:tc>
        <w:tc>
          <w:tcPr>
            <w:tcW w:w="0" w:type="auto"/>
            <w:vAlign w:val="center"/>
            <w:hideMark/>
          </w:tcPr>
          <w:p w14:paraId="7A2B0D54" w14:textId="77777777" w:rsidR="00747DBA" w:rsidRPr="005D5D6A" w:rsidRDefault="00747DBA" w:rsidP="005D5D6A">
            <w:pPr>
              <w:spacing w:before="0" w:after="0"/>
              <w:jc w:val="left"/>
              <w:rPr>
                <w:noProof/>
                <w:szCs w:val="18"/>
                <w:lang w:val="fr-FR"/>
              </w:rPr>
            </w:pPr>
            <w:r w:rsidRPr="005D5D6A">
              <w:rPr>
                <w:noProof/>
                <w:szCs w:val="18"/>
                <w:lang w:val="fr-FR"/>
              </w:rPr>
              <w:t>40</w:t>
            </w:r>
          </w:p>
        </w:tc>
        <w:tc>
          <w:tcPr>
            <w:tcW w:w="0" w:type="auto"/>
            <w:vAlign w:val="center"/>
          </w:tcPr>
          <w:p w14:paraId="60AB5111" w14:textId="77777777" w:rsidR="00747DBA" w:rsidRPr="005D5D6A" w:rsidRDefault="00747DBA" w:rsidP="005D5D6A">
            <w:pPr>
              <w:spacing w:before="0" w:after="0"/>
              <w:jc w:val="left"/>
              <w:rPr>
                <w:noProof/>
                <w:szCs w:val="18"/>
                <w:lang w:val="fr-FR"/>
              </w:rPr>
            </w:pPr>
            <w:r w:rsidRPr="005D5D6A">
              <w:rPr>
                <w:noProof/>
                <w:szCs w:val="18"/>
                <w:lang w:val="fr-FR"/>
              </w:rPr>
              <w:t>Apyral20-40%</w:t>
            </w:r>
          </w:p>
        </w:tc>
      </w:tr>
      <w:tr w:rsidR="00747DBA" w:rsidRPr="006C6F25" w14:paraId="2F616E09" w14:textId="77777777" w:rsidTr="005D5D6A">
        <w:trPr>
          <w:trHeight w:val="20"/>
          <w:jc w:val="center"/>
        </w:trPr>
        <w:tc>
          <w:tcPr>
            <w:tcW w:w="0" w:type="auto"/>
            <w:vMerge/>
            <w:vAlign w:val="center"/>
            <w:hideMark/>
          </w:tcPr>
          <w:p w14:paraId="096F4E40" w14:textId="77777777" w:rsidR="00747DBA" w:rsidRPr="005D5D6A" w:rsidRDefault="00747DBA" w:rsidP="005D5D6A">
            <w:pPr>
              <w:spacing w:before="0" w:after="0"/>
              <w:jc w:val="left"/>
              <w:rPr>
                <w:b/>
                <w:bCs/>
                <w:noProof/>
                <w:szCs w:val="18"/>
                <w:lang w:val="fr-FR"/>
              </w:rPr>
            </w:pPr>
          </w:p>
        </w:tc>
        <w:tc>
          <w:tcPr>
            <w:tcW w:w="0" w:type="auto"/>
            <w:vAlign w:val="center"/>
            <w:hideMark/>
          </w:tcPr>
          <w:p w14:paraId="0E1997BD" w14:textId="77777777" w:rsidR="00747DBA" w:rsidRPr="005D5D6A" w:rsidRDefault="00747DBA" w:rsidP="005D5D6A">
            <w:pPr>
              <w:spacing w:before="0" w:after="0"/>
              <w:jc w:val="left"/>
              <w:rPr>
                <w:noProof/>
                <w:szCs w:val="18"/>
                <w:lang w:val="fr-FR"/>
              </w:rPr>
            </w:pPr>
            <w:r w:rsidRPr="005D5D6A">
              <w:rPr>
                <w:noProof/>
                <w:szCs w:val="18"/>
                <w:lang w:val="fr-FR"/>
              </w:rPr>
              <w:t>60</w:t>
            </w:r>
          </w:p>
        </w:tc>
        <w:tc>
          <w:tcPr>
            <w:tcW w:w="0" w:type="auto"/>
            <w:vAlign w:val="center"/>
          </w:tcPr>
          <w:p w14:paraId="06DEE0C4" w14:textId="77777777" w:rsidR="00747DBA" w:rsidRPr="005D5D6A" w:rsidRDefault="00747DBA" w:rsidP="005D5D6A">
            <w:pPr>
              <w:spacing w:before="0" w:after="0"/>
              <w:jc w:val="left"/>
              <w:rPr>
                <w:noProof/>
                <w:szCs w:val="18"/>
                <w:lang w:val="fr-FR"/>
              </w:rPr>
            </w:pPr>
            <w:r w:rsidRPr="005D5D6A">
              <w:rPr>
                <w:noProof/>
                <w:szCs w:val="18"/>
                <w:lang w:val="fr-FR"/>
              </w:rPr>
              <w:t>Apyral20-60%</w:t>
            </w:r>
          </w:p>
        </w:tc>
      </w:tr>
      <w:tr w:rsidR="00747DBA" w:rsidRPr="006C6F25" w14:paraId="65D2C7DF" w14:textId="77777777" w:rsidTr="005D5D6A">
        <w:trPr>
          <w:trHeight w:val="20"/>
          <w:jc w:val="center"/>
        </w:trPr>
        <w:tc>
          <w:tcPr>
            <w:tcW w:w="0" w:type="auto"/>
            <w:vMerge w:val="restart"/>
            <w:vAlign w:val="center"/>
            <w:hideMark/>
          </w:tcPr>
          <w:p w14:paraId="47C716E7" w14:textId="77777777" w:rsidR="00747DBA" w:rsidRPr="005D5D6A" w:rsidRDefault="00747DBA" w:rsidP="005D5D6A">
            <w:pPr>
              <w:spacing w:before="0" w:after="0"/>
              <w:jc w:val="left"/>
              <w:rPr>
                <w:b/>
                <w:bCs/>
                <w:noProof/>
                <w:szCs w:val="18"/>
                <w:lang w:val="fr-FR"/>
              </w:rPr>
            </w:pPr>
            <w:r w:rsidRPr="005D5D6A">
              <w:rPr>
                <w:b/>
                <w:bCs/>
                <w:noProof/>
                <w:szCs w:val="18"/>
                <w:lang w:val="fr-FR"/>
              </w:rPr>
              <w:t>Apyral30X</w:t>
            </w:r>
          </w:p>
        </w:tc>
        <w:tc>
          <w:tcPr>
            <w:tcW w:w="0" w:type="auto"/>
            <w:vAlign w:val="center"/>
            <w:hideMark/>
          </w:tcPr>
          <w:p w14:paraId="3BC66845" w14:textId="77777777" w:rsidR="00747DBA" w:rsidRPr="005D5D6A" w:rsidRDefault="00747DBA" w:rsidP="005D5D6A">
            <w:pPr>
              <w:spacing w:before="0" w:after="0"/>
              <w:jc w:val="left"/>
              <w:rPr>
                <w:noProof/>
                <w:szCs w:val="18"/>
                <w:lang w:val="fr-FR"/>
              </w:rPr>
            </w:pPr>
            <w:r w:rsidRPr="005D5D6A">
              <w:rPr>
                <w:noProof/>
                <w:szCs w:val="18"/>
                <w:lang w:val="fr-FR"/>
              </w:rPr>
              <w:t>20</w:t>
            </w:r>
          </w:p>
        </w:tc>
        <w:tc>
          <w:tcPr>
            <w:tcW w:w="0" w:type="auto"/>
            <w:vAlign w:val="center"/>
          </w:tcPr>
          <w:p w14:paraId="459AFC6D" w14:textId="77777777" w:rsidR="00747DBA" w:rsidRPr="005D5D6A" w:rsidRDefault="00747DBA" w:rsidP="005D5D6A">
            <w:pPr>
              <w:spacing w:before="0" w:after="0"/>
              <w:jc w:val="left"/>
              <w:rPr>
                <w:noProof/>
                <w:szCs w:val="18"/>
                <w:lang w:val="fr-FR"/>
              </w:rPr>
            </w:pPr>
            <w:r w:rsidRPr="005D5D6A">
              <w:rPr>
                <w:noProof/>
                <w:szCs w:val="18"/>
                <w:lang w:val="fr-FR"/>
              </w:rPr>
              <w:t>Apyral30-20%</w:t>
            </w:r>
          </w:p>
        </w:tc>
      </w:tr>
      <w:tr w:rsidR="00747DBA" w:rsidRPr="006C6F25" w14:paraId="7D150C63" w14:textId="77777777" w:rsidTr="005D5D6A">
        <w:trPr>
          <w:trHeight w:val="20"/>
          <w:jc w:val="center"/>
        </w:trPr>
        <w:tc>
          <w:tcPr>
            <w:tcW w:w="0" w:type="auto"/>
            <w:vMerge/>
            <w:vAlign w:val="center"/>
            <w:hideMark/>
          </w:tcPr>
          <w:p w14:paraId="624AB3E4" w14:textId="77777777" w:rsidR="00747DBA" w:rsidRPr="005D5D6A" w:rsidRDefault="00747DBA" w:rsidP="005D5D6A">
            <w:pPr>
              <w:spacing w:before="0" w:after="0"/>
              <w:jc w:val="left"/>
              <w:rPr>
                <w:b/>
                <w:bCs/>
                <w:noProof/>
                <w:szCs w:val="18"/>
                <w:lang w:val="fr-FR"/>
              </w:rPr>
            </w:pPr>
          </w:p>
        </w:tc>
        <w:tc>
          <w:tcPr>
            <w:tcW w:w="0" w:type="auto"/>
            <w:vAlign w:val="center"/>
            <w:hideMark/>
          </w:tcPr>
          <w:p w14:paraId="66E411A9" w14:textId="77777777" w:rsidR="00747DBA" w:rsidRPr="005D5D6A" w:rsidRDefault="00747DBA" w:rsidP="005D5D6A">
            <w:pPr>
              <w:spacing w:before="0" w:after="0"/>
              <w:jc w:val="left"/>
              <w:rPr>
                <w:noProof/>
                <w:szCs w:val="18"/>
                <w:lang w:val="fr-FR"/>
              </w:rPr>
            </w:pPr>
            <w:r w:rsidRPr="005D5D6A">
              <w:rPr>
                <w:noProof/>
                <w:szCs w:val="18"/>
                <w:lang w:val="fr-FR"/>
              </w:rPr>
              <w:t>40</w:t>
            </w:r>
          </w:p>
        </w:tc>
        <w:tc>
          <w:tcPr>
            <w:tcW w:w="0" w:type="auto"/>
            <w:vAlign w:val="center"/>
          </w:tcPr>
          <w:p w14:paraId="56866672" w14:textId="77777777" w:rsidR="00747DBA" w:rsidRPr="005D5D6A" w:rsidRDefault="00747DBA" w:rsidP="005D5D6A">
            <w:pPr>
              <w:spacing w:before="0" w:after="0"/>
              <w:jc w:val="left"/>
              <w:rPr>
                <w:noProof/>
                <w:szCs w:val="18"/>
                <w:lang w:val="fr-FR"/>
              </w:rPr>
            </w:pPr>
            <w:r w:rsidRPr="005D5D6A">
              <w:rPr>
                <w:noProof/>
                <w:szCs w:val="18"/>
                <w:lang w:val="fr-FR"/>
              </w:rPr>
              <w:t>Apyral30-40%</w:t>
            </w:r>
          </w:p>
        </w:tc>
      </w:tr>
      <w:tr w:rsidR="00747DBA" w:rsidRPr="006C6F25" w14:paraId="4BE6284D" w14:textId="77777777" w:rsidTr="005D5D6A">
        <w:trPr>
          <w:trHeight w:val="20"/>
          <w:jc w:val="center"/>
        </w:trPr>
        <w:tc>
          <w:tcPr>
            <w:tcW w:w="0" w:type="auto"/>
            <w:vMerge/>
            <w:vAlign w:val="center"/>
            <w:hideMark/>
          </w:tcPr>
          <w:p w14:paraId="2B891E2A" w14:textId="77777777" w:rsidR="00747DBA" w:rsidRPr="005D5D6A" w:rsidRDefault="00747DBA" w:rsidP="005D5D6A">
            <w:pPr>
              <w:spacing w:before="0" w:after="0"/>
              <w:jc w:val="left"/>
              <w:rPr>
                <w:b/>
                <w:bCs/>
                <w:noProof/>
                <w:szCs w:val="18"/>
                <w:lang w:val="fr-FR"/>
              </w:rPr>
            </w:pPr>
          </w:p>
        </w:tc>
        <w:tc>
          <w:tcPr>
            <w:tcW w:w="0" w:type="auto"/>
            <w:vAlign w:val="center"/>
            <w:hideMark/>
          </w:tcPr>
          <w:p w14:paraId="4656EFD3" w14:textId="77777777" w:rsidR="00747DBA" w:rsidRPr="005D5D6A" w:rsidRDefault="00747DBA" w:rsidP="005D5D6A">
            <w:pPr>
              <w:spacing w:before="0" w:after="0"/>
              <w:jc w:val="left"/>
              <w:rPr>
                <w:noProof/>
                <w:szCs w:val="18"/>
                <w:lang w:val="fr-FR"/>
              </w:rPr>
            </w:pPr>
            <w:r w:rsidRPr="005D5D6A">
              <w:rPr>
                <w:noProof/>
                <w:szCs w:val="18"/>
                <w:lang w:val="fr-FR"/>
              </w:rPr>
              <w:t>60</w:t>
            </w:r>
          </w:p>
        </w:tc>
        <w:tc>
          <w:tcPr>
            <w:tcW w:w="0" w:type="auto"/>
            <w:vAlign w:val="center"/>
          </w:tcPr>
          <w:p w14:paraId="103B3ED5" w14:textId="77777777" w:rsidR="00747DBA" w:rsidRPr="005D5D6A" w:rsidRDefault="00747DBA" w:rsidP="005D5D6A">
            <w:pPr>
              <w:spacing w:before="0" w:after="0"/>
              <w:jc w:val="left"/>
              <w:rPr>
                <w:noProof/>
                <w:szCs w:val="18"/>
                <w:lang w:val="fr-FR"/>
              </w:rPr>
            </w:pPr>
            <w:r w:rsidRPr="005D5D6A">
              <w:rPr>
                <w:noProof/>
                <w:szCs w:val="18"/>
                <w:lang w:val="fr-FR"/>
              </w:rPr>
              <w:t>Apyral30-60%</w:t>
            </w:r>
          </w:p>
        </w:tc>
      </w:tr>
      <w:tr w:rsidR="00747DBA" w:rsidRPr="006C6F25" w14:paraId="71D3359D" w14:textId="77777777" w:rsidTr="005D5D6A">
        <w:trPr>
          <w:trHeight w:val="20"/>
          <w:jc w:val="center"/>
        </w:trPr>
        <w:tc>
          <w:tcPr>
            <w:tcW w:w="0" w:type="auto"/>
            <w:vMerge w:val="restart"/>
            <w:vAlign w:val="center"/>
            <w:hideMark/>
          </w:tcPr>
          <w:p w14:paraId="57A4F148" w14:textId="77777777" w:rsidR="00747DBA" w:rsidRPr="005D5D6A" w:rsidRDefault="00747DBA" w:rsidP="005D5D6A">
            <w:pPr>
              <w:spacing w:before="0" w:after="0"/>
              <w:jc w:val="left"/>
              <w:rPr>
                <w:b/>
                <w:bCs/>
                <w:noProof/>
                <w:szCs w:val="18"/>
                <w:lang w:val="fr-FR"/>
              </w:rPr>
            </w:pPr>
            <w:r w:rsidRPr="005D5D6A">
              <w:rPr>
                <w:b/>
                <w:bCs/>
                <w:noProof/>
                <w:szCs w:val="18"/>
                <w:lang w:val="fr-FR"/>
              </w:rPr>
              <w:t>Apyral22</w:t>
            </w:r>
          </w:p>
        </w:tc>
        <w:tc>
          <w:tcPr>
            <w:tcW w:w="0" w:type="auto"/>
            <w:vAlign w:val="center"/>
            <w:hideMark/>
          </w:tcPr>
          <w:p w14:paraId="6DC932CB" w14:textId="77777777" w:rsidR="00747DBA" w:rsidRPr="005D5D6A" w:rsidRDefault="00747DBA" w:rsidP="005D5D6A">
            <w:pPr>
              <w:spacing w:before="0" w:after="0"/>
              <w:jc w:val="left"/>
              <w:rPr>
                <w:noProof/>
                <w:szCs w:val="18"/>
                <w:lang w:val="fr-FR"/>
              </w:rPr>
            </w:pPr>
            <w:r w:rsidRPr="005D5D6A">
              <w:rPr>
                <w:noProof/>
                <w:szCs w:val="18"/>
                <w:lang w:val="fr-FR"/>
              </w:rPr>
              <w:t>20</w:t>
            </w:r>
          </w:p>
        </w:tc>
        <w:tc>
          <w:tcPr>
            <w:tcW w:w="0" w:type="auto"/>
            <w:vAlign w:val="center"/>
          </w:tcPr>
          <w:p w14:paraId="5AAE7534" w14:textId="77777777" w:rsidR="00747DBA" w:rsidRPr="005D5D6A" w:rsidRDefault="00747DBA" w:rsidP="005D5D6A">
            <w:pPr>
              <w:spacing w:before="0" w:after="0"/>
              <w:jc w:val="left"/>
              <w:rPr>
                <w:noProof/>
                <w:szCs w:val="18"/>
                <w:lang w:val="fr-FR"/>
              </w:rPr>
            </w:pPr>
            <w:r w:rsidRPr="005D5D6A">
              <w:rPr>
                <w:noProof/>
                <w:szCs w:val="18"/>
                <w:lang w:val="fr-FR"/>
              </w:rPr>
              <w:t>Apyral22-20%</w:t>
            </w:r>
          </w:p>
        </w:tc>
      </w:tr>
      <w:tr w:rsidR="00747DBA" w:rsidRPr="006C6F25" w14:paraId="7883875F" w14:textId="77777777" w:rsidTr="005D5D6A">
        <w:trPr>
          <w:trHeight w:val="20"/>
          <w:jc w:val="center"/>
        </w:trPr>
        <w:tc>
          <w:tcPr>
            <w:tcW w:w="0" w:type="auto"/>
            <w:vMerge/>
            <w:vAlign w:val="center"/>
            <w:hideMark/>
          </w:tcPr>
          <w:p w14:paraId="4EBCAD30" w14:textId="77777777" w:rsidR="00747DBA" w:rsidRPr="005D5D6A" w:rsidRDefault="00747DBA" w:rsidP="005D5D6A">
            <w:pPr>
              <w:spacing w:before="0" w:after="0"/>
              <w:jc w:val="left"/>
              <w:rPr>
                <w:b/>
                <w:bCs/>
                <w:noProof/>
                <w:szCs w:val="18"/>
                <w:lang w:val="fr-FR"/>
              </w:rPr>
            </w:pPr>
          </w:p>
        </w:tc>
        <w:tc>
          <w:tcPr>
            <w:tcW w:w="0" w:type="auto"/>
            <w:vAlign w:val="center"/>
            <w:hideMark/>
          </w:tcPr>
          <w:p w14:paraId="374CECAB" w14:textId="77777777" w:rsidR="00747DBA" w:rsidRPr="005D5D6A" w:rsidRDefault="00747DBA" w:rsidP="005D5D6A">
            <w:pPr>
              <w:spacing w:before="0" w:after="0"/>
              <w:jc w:val="left"/>
              <w:rPr>
                <w:noProof/>
                <w:szCs w:val="18"/>
                <w:lang w:val="fr-FR"/>
              </w:rPr>
            </w:pPr>
            <w:r w:rsidRPr="005D5D6A">
              <w:rPr>
                <w:noProof/>
                <w:szCs w:val="18"/>
                <w:lang w:val="fr-FR"/>
              </w:rPr>
              <w:t>40</w:t>
            </w:r>
          </w:p>
        </w:tc>
        <w:tc>
          <w:tcPr>
            <w:tcW w:w="0" w:type="auto"/>
            <w:vAlign w:val="center"/>
          </w:tcPr>
          <w:p w14:paraId="1D203AFC" w14:textId="77777777" w:rsidR="00747DBA" w:rsidRPr="005D5D6A" w:rsidRDefault="00747DBA" w:rsidP="005D5D6A">
            <w:pPr>
              <w:spacing w:before="0" w:after="0"/>
              <w:jc w:val="left"/>
              <w:rPr>
                <w:noProof/>
                <w:szCs w:val="18"/>
                <w:lang w:val="fr-FR"/>
              </w:rPr>
            </w:pPr>
            <w:r w:rsidRPr="005D5D6A">
              <w:rPr>
                <w:noProof/>
                <w:szCs w:val="18"/>
                <w:lang w:val="fr-FR"/>
              </w:rPr>
              <w:t>Apyral22-40%</w:t>
            </w:r>
          </w:p>
        </w:tc>
      </w:tr>
      <w:tr w:rsidR="00747DBA" w:rsidRPr="006C6F25" w14:paraId="11C614A2" w14:textId="77777777" w:rsidTr="005D5D6A">
        <w:trPr>
          <w:trHeight w:val="20"/>
          <w:jc w:val="center"/>
        </w:trPr>
        <w:tc>
          <w:tcPr>
            <w:tcW w:w="0" w:type="auto"/>
            <w:vMerge/>
            <w:vAlign w:val="center"/>
            <w:hideMark/>
          </w:tcPr>
          <w:p w14:paraId="68ED3FB2" w14:textId="77777777" w:rsidR="00747DBA" w:rsidRPr="005D5D6A" w:rsidRDefault="00747DBA" w:rsidP="005D5D6A">
            <w:pPr>
              <w:spacing w:before="0" w:after="0"/>
              <w:jc w:val="left"/>
              <w:rPr>
                <w:b/>
                <w:bCs/>
                <w:noProof/>
                <w:szCs w:val="18"/>
                <w:lang w:val="fr-FR"/>
              </w:rPr>
            </w:pPr>
          </w:p>
        </w:tc>
        <w:tc>
          <w:tcPr>
            <w:tcW w:w="0" w:type="auto"/>
            <w:vAlign w:val="center"/>
            <w:hideMark/>
          </w:tcPr>
          <w:p w14:paraId="70B176FD" w14:textId="77777777" w:rsidR="00747DBA" w:rsidRPr="005D5D6A" w:rsidRDefault="00747DBA" w:rsidP="005D5D6A">
            <w:pPr>
              <w:spacing w:before="0" w:after="0"/>
              <w:jc w:val="left"/>
              <w:rPr>
                <w:noProof/>
                <w:szCs w:val="18"/>
                <w:lang w:val="fr-FR"/>
              </w:rPr>
            </w:pPr>
            <w:r w:rsidRPr="005D5D6A">
              <w:rPr>
                <w:noProof/>
                <w:szCs w:val="18"/>
                <w:lang w:val="fr-FR"/>
              </w:rPr>
              <w:t>60</w:t>
            </w:r>
          </w:p>
        </w:tc>
        <w:tc>
          <w:tcPr>
            <w:tcW w:w="0" w:type="auto"/>
            <w:vAlign w:val="center"/>
          </w:tcPr>
          <w:p w14:paraId="632EB441" w14:textId="77777777" w:rsidR="00747DBA" w:rsidRPr="005D5D6A" w:rsidRDefault="00747DBA" w:rsidP="005D5D6A">
            <w:pPr>
              <w:spacing w:before="0" w:after="0"/>
              <w:jc w:val="left"/>
              <w:rPr>
                <w:noProof/>
                <w:szCs w:val="18"/>
                <w:lang w:val="fr-FR"/>
              </w:rPr>
            </w:pPr>
            <w:r w:rsidRPr="005D5D6A">
              <w:rPr>
                <w:noProof/>
                <w:szCs w:val="18"/>
                <w:lang w:val="fr-FR"/>
              </w:rPr>
              <w:t>Apyral22-60%</w:t>
            </w:r>
          </w:p>
        </w:tc>
      </w:tr>
      <w:tr w:rsidR="00747DBA" w:rsidRPr="006C6F25" w14:paraId="06BFD042" w14:textId="77777777" w:rsidTr="005D5D6A">
        <w:trPr>
          <w:trHeight w:val="20"/>
          <w:jc w:val="center"/>
        </w:trPr>
        <w:tc>
          <w:tcPr>
            <w:tcW w:w="0" w:type="auto"/>
            <w:vMerge w:val="restart"/>
            <w:vAlign w:val="center"/>
            <w:hideMark/>
          </w:tcPr>
          <w:p w14:paraId="7712375B" w14:textId="77777777" w:rsidR="00747DBA" w:rsidRPr="005D5D6A" w:rsidRDefault="00747DBA" w:rsidP="005D5D6A">
            <w:pPr>
              <w:spacing w:before="0" w:after="0"/>
              <w:jc w:val="left"/>
              <w:rPr>
                <w:b/>
                <w:bCs/>
                <w:noProof/>
                <w:szCs w:val="18"/>
                <w:lang w:val="fr-FR"/>
              </w:rPr>
            </w:pPr>
            <w:r w:rsidRPr="005D5D6A">
              <w:rPr>
                <w:b/>
                <w:bCs/>
                <w:noProof/>
                <w:szCs w:val="18"/>
                <w:lang w:val="fr-FR"/>
              </w:rPr>
              <w:t>Apyral 33</w:t>
            </w:r>
          </w:p>
        </w:tc>
        <w:tc>
          <w:tcPr>
            <w:tcW w:w="0" w:type="auto"/>
            <w:vAlign w:val="center"/>
            <w:hideMark/>
          </w:tcPr>
          <w:p w14:paraId="10E29A38" w14:textId="77777777" w:rsidR="00747DBA" w:rsidRPr="005D5D6A" w:rsidRDefault="00747DBA" w:rsidP="005D5D6A">
            <w:pPr>
              <w:spacing w:before="0" w:after="0"/>
              <w:jc w:val="left"/>
              <w:rPr>
                <w:noProof/>
                <w:szCs w:val="18"/>
                <w:lang w:val="fr-FR"/>
              </w:rPr>
            </w:pPr>
            <w:r w:rsidRPr="005D5D6A">
              <w:rPr>
                <w:noProof/>
                <w:szCs w:val="18"/>
                <w:lang w:val="fr-FR"/>
              </w:rPr>
              <w:t>20</w:t>
            </w:r>
          </w:p>
        </w:tc>
        <w:tc>
          <w:tcPr>
            <w:tcW w:w="0" w:type="auto"/>
            <w:vAlign w:val="center"/>
          </w:tcPr>
          <w:p w14:paraId="60430912" w14:textId="77777777" w:rsidR="00747DBA" w:rsidRPr="005D5D6A" w:rsidRDefault="00747DBA" w:rsidP="005D5D6A">
            <w:pPr>
              <w:spacing w:before="0" w:after="0"/>
              <w:jc w:val="left"/>
              <w:rPr>
                <w:noProof/>
                <w:szCs w:val="18"/>
                <w:lang w:val="fr-FR"/>
              </w:rPr>
            </w:pPr>
            <w:r w:rsidRPr="005D5D6A">
              <w:rPr>
                <w:noProof/>
                <w:szCs w:val="18"/>
                <w:lang w:val="fr-FR"/>
              </w:rPr>
              <w:t>Apyral22-20%</w:t>
            </w:r>
          </w:p>
        </w:tc>
      </w:tr>
      <w:tr w:rsidR="00747DBA" w:rsidRPr="006C6F25" w14:paraId="615FA75A" w14:textId="77777777" w:rsidTr="005D5D6A">
        <w:trPr>
          <w:trHeight w:val="20"/>
          <w:jc w:val="center"/>
        </w:trPr>
        <w:tc>
          <w:tcPr>
            <w:tcW w:w="0" w:type="auto"/>
            <w:vMerge/>
            <w:vAlign w:val="center"/>
            <w:hideMark/>
          </w:tcPr>
          <w:p w14:paraId="07A529DB" w14:textId="77777777" w:rsidR="00747DBA" w:rsidRPr="005D5D6A" w:rsidRDefault="00747DBA" w:rsidP="005D5D6A">
            <w:pPr>
              <w:spacing w:before="0" w:after="0"/>
              <w:jc w:val="left"/>
              <w:rPr>
                <w:noProof/>
                <w:szCs w:val="18"/>
                <w:lang w:val="fr-FR"/>
              </w:rPr>
            </w:pPr>
          </w:p>
        </w:tc>
        <w:tc>
          <w:tcPr>
            <w:tcW w:w="0" w:type="auto"/>
            <w:vAlign w:val="center"/>
            <w:hideMark/>
          </w:tcPr>
          <w:p w14:paraId="66435AAC" w14:textId="77777777" w:rsidR="00747DBA" w:rsidRPr="005D5D6A" w:rsidRDefault="00747DBA" w:rsidP="005D5D6A">
            <w:pPr>
              <w:spacing w:before="0" w:after="0"/>
              <w:jc w:val="left"/>
              <w:rPr>
                <w:noProof/>
                <w:szCs w:val="18"/>
                <w:lang w:val="fr-FR"/>
              </w:rPr>
            </w:pPr>
            <w:r w:rsidRPr="005D5D6A">
              <w:rPr>
                <w:noProof/>
                <w:szCs w:val="18"/>
                <w:lang w:val="fr-FR"/>
              </w:rPr>
              <w:t>40</w:t>
            </w:r>
          </w:p>
        </w:tc>
        <w:tc>
          <w:tcPr>
            <w:tcW w:w="0" w:type="auto"/>
            <w:vAlign w:val="center"/>
          </w:tcPr>
          <w:p w14:paraId="40FA6774" w14:textId="77777777" w:rsidR="00747DBA" w:rsidRPr="005D5D6A" w:rsidRDefault="00747DBA" w:rsidP="005D5D6A">
            <w:pPr>
              <w:spacing w:before="0" w:after="0"/>
              <w:jc w:val="left"/>
              <w:rPr>
                <w:noProof/>
                <w:szCs w:val="18"/>
                <w:lang w:val="fr-FR"/>
              </w:rPr>
            </w:pPr>
            <w:r w:rsidRPr="005D5D6A">
              <w:rPr>
                <w:noProof/>
                <w:szCs w:val="18"/>
                <w:lang w:val="fr-FR"/>
              </w:rPr>
              <w:t>Apyral22-40%</w:t>
            </w:r>
          </w:p>
        </w:tc>
      </w:tr>
      <w:tr w:rsidR="00747DBA" w:rsidRPr="006C6F25" w14:paraId="219ED377" w14:textId="77777777" w:rsidTr="005D5D6A">
        <w:trPr>
          <w:trHeight w:val="20"/>
          <w:jc w:val="center"/>
        </w:trPr>
        <w:tc>
          <w:tcPr>
            <w:tcW w:w="0" w:type="auto"/>
            <w:vMerge/>
            <w:vAlign w:val="center"/>
            <w:hideMark/>
          </w:tcPr>
          <w:p w14:paraId="2DA41C36" w14:textId="77777777" w:rsidR="00747DBA" w:rsidRPr="006C6F25" w:rsidRDefault="00747DBA" w:rsidP="005D5D6A">
            <w:pPr>
              <w:spacing w:before="0" w:after="0"/>
              <w:jc w:val="left"/>
              <w:rPr>
                <w:szCs w:val="18"/>
                <w:lang w:val="en-GB"/>
              </w:rPr>
            </w:pPr>
          </w:p>
        </w:tc>
        <w:tc>
          <w:tcPr>
            <w:tcW w:w="0" w:type="auto"/>
            <w:vAlign w:val="center"/>
            <w:hideMark/>
          </w:tcPr>
          <w:p w14:paraId="0BDB0868" w14:textId="77777777" w:rsidR="00747DBA" w:rsidRPr="006C6F25" w:rsidRDefault="00747DBA" w:rsidP="005D5D6A">
            <w:pPr>
              <w:spacing w:before="0" w:after="0"/>
              <w:jc w:val="left"/>
              <w:rPr>
                <w:szCs w:val="18"/>
                <w:lang w:val="en-GB"/>
              </w:rPr>
            </w:pPr>
            <w:r w:rsidRPr="006C6F25">
              <w:rPr>
                <w:szCs w:val="18"/>
                <w:lang w:val="en-GB"/>
              </w:rPr>
              <w:t>60</w:t>
            </w:r>
          </w:p>
        </w:tc>
        <w:tc>
          <w:tcPr>
            <w:tcW w:w="0" w:type="auto"/>
            <w:vAlign w:val="center"/>
          </w:tcPr>
          <w:p w14:paraId="6CDE2784" w14:textId="77777777" w:rsidR="00747DBA" w:rsidRPr="006C6F25" w:rsidRDefault="00747DBA" w:rsidP="005D5D6A">
            <w:pPr>
              <w:spacing w:before="0" w:after="0"/>
              <w:jc w:val="left"/>
              <w:rPr>
                <w:szCs w:val="18"/>
                <w:lang w:val="en-GB"/>
              </w:rPr>
            </w:pPr>
            <w:r w:rsidRPr="006C6F25">
              <w:rPr>
                <w:szCs w:val="18"/>
              </w:rPr>
              <w:t>Apyral22-60%</w:t>
            </w:r>
          </w:p>
        </w:tc>
      </w:tr>
    </w:tbl>
    <w:p w14:paraId="689DF271" w14:textId="77777777" w:rsidR="005D5D6A" w:rsidRPr="00874199" w:rsidRDefault="005D5D6A" w:rsidP="005D5D6A">
      <w:pPr>
        <w:pStyle w:val="Ttulo2"/>
        <w:jc w:val="both"/>
        <w:rPr>
          <w:noProof/>
          <w:lang w:val="es-ES"/>
        </w:rPr>
      </w:pPr>
      <w:r w:rsidRPr="00874199">
        <w:rPr>
          <w:noProof/>
          <w:lang w:val="es-ES"/>
        </w:rPr>
        <w:lastRenderedPageBreak/>
        <w:t>Preparación y caracterización de formulaciones y composites ignífugos de curado UV</w:t>
      </w:r>
    </w:p>
    <w:p w14:paraId="773A8EA8" w14:textId="77777777" w:rsidR="005D5D6A" w:rsidRPr="00874199" w:rsidRDefault="005D5D6A" w:rsidP="005D5D6A">
      <w:pPr>
        <w:rPr>
          <w:noProof/>
          <w:szCs w:val="18"/>
        </w:rPr>
      </w:pPr>
      <w:r w:rsidRPr="00874199">
        <w:rPr>
          <w:noProof/>
          <w:szCs w:val="18"/>
        </w:rPr>
        <w:t xml:space="preserve">Los prepregs y composites fabricados se prepararon siguiendo las especificaciones presentes en la publicación </w:t>
      </w:r>
      <w:r w:rsidRPr="005D5D6A">
        <w:rPr>
          <w:noProof/>
          <w:szCs w:val="18"/>
          <w:lang w:val="fr-FR"/>
        </w:rPr>
        <w:fldChar w:fldCharType="begin"/>
      </w:r>
      <w:r w:rsidRPr="00874199">
        <w:rPr>
          <w:noProof/>
          <w:szCs w:val="18"/>
        </w:rPr>
        <w:instrText xml:space="preserve"> ADDIN ZOTERO_ITEM CSL_CITATION {"citationID":"D4QYhybK","properties":{"formattedCitation":"[5]","plainCitation":"[5]","noteIndex":0},"citationItems":[{"id":78,"uris":["http://zotero.org/users/1495681/items/SF7Y882P"],"itemData":{"id":78,"type":"article-journal","abstract":"A new process for the impregnation, consolidation, and curing of glass-fibre-reinforced polyester composites was developed to reduce manufacturing costs and secure end properties that compete with other traditional materials. This new process, based on the ultraviolet (UV) curing of prepregs, could be a viable alternative to infusion and other processes. In this paper, we showed that glass fibre composites 3 mm thick could be easily formed using suitable photoinitiating systems. We achieved improved mechanical properties through the application of favourable parameters to traditional manufacturing processes such as hand lay-up and infusion. The prepreg polymerization was monitored by dielectric analysis (DEA), and we evaluated the relationship between the UV radiation exposure time and curing degree. Both the exposure time and compaction pressure affected the fibre content of composites and interlaminar shear strength. Experimental results showed that compaction pressures higher than 4 bar are necessary to increase the mechanical properties of the UV-cured composites. Finally, the properties of the composites manufactured by this new process were compared to the properties of composites manufactured using traditional processes such as hand lay-up and infusion.","container-title":"Journal of Composites Science","DOI":"10.3390/jcs4010030","issue":"1","language":"en","note":"number: 1\npublisher: Multidisciplinary Digital Publishing Institute","page":"30","source":"www.mdpi.com","title":"Influence of the Fibre Content, Exposure Time, and Compaction Pressure on the Mechanical Properties of Ultraviolet-Cured Composites","URL":"https://www.mdpi.com/2504-477X/4/1/30","volume":"4","author":[{"family":"G. Pérez-de-Eulate","given":"Natalia"},{"family":"Iztueta","given":"Ane Aranburu"},{"family":"Gondra","given":"Koldo"},{"family":"Vallejo","given":"Francisco Javier"}],"accessed":{"date-parts":[["2020",4,1]]},"issued":{"date-parts":[["2020",3]]}}}],"schema":"https://github.com/citation-style-language/schema/raw/master/csl-citation.json"} </w:instrText>
      </w:r>
      <w:r w:rsidRPr="005D5D6A">
        <w:rPr>
          <w:noProof/>
          <w:szCs w:val="18"/>
          <w:lang w:val="fr-FR"/>
        </w:rPr>
        <w:fldChar w:fldCharType="separate"/>
      </w:r>
      <w:r w:rsidRPr="00874199">
        <w:rPr>
          <w:noProof/>
          <w:szCs w:val="18"/>
        </w:rPr>
        <w:t>[5]</w:t>
      </w:r>
      <w:r w:rsidRPr="005D5D6A">
        <w:rPr>
          <w:noProof/>
          <w:szCs w:val="18"/>
          <w:lang w:val="fr-FR"/>
        </w:rPr>
        <w:fldChar w:fldCharType="end"/>
      </w:r>
      <w:r w:rsidRPr="00874199">
        <w:rPr>
          <w:noProof/>
          <w:szCs w:val="18"/>
        </w:rPr>
        <w:t>. Las formulaciones basadas en resina UV y carga ignífuga se caracterizaron midiendo el grado de curado en función del tiempo de exposición a la luz UV. Para el análisis del grado de curado se utilizó el análisis dieléctrico (DEA) mediante el equipo DEA Epsilon 288 Curing Monitor de NETZSCH.</w:t>
      </w:r>
    </w:p>
    <w:p w14:paraId="1C7FB7D9" w14:textId="77777777" w:rsidR="005D5D6A" w:rsidRPr="00874199" w:rsidRDefault="005D5D6A" w:rsidP="005D5D6A">
      <w:pPr>
        <w:rPr>
          <w:noProof/>
          <w:szCs w:val="18"/>
        </w:rPr>
      </w:pPr>
      <w:r w:rsidRPr="00874199">
        <w:rPr>
          <w:noProof/>
          <w:szCs w:val="18"/>
        </w:rPr>
        <w:t>El DEA está basado en detectar los cambios dieléctricos aplicando un campo eléctrico de corriente alterna a la muestra. Las especies dipolares presentes en el material tienden a orientarse en dirección al campo eléctrico. Esto da lugar a una respuesta en forma de campo eléctrico con una amplitud determinada y un cambio de fase. La amplitud está relacionada con la constante dieléctrica o permitividad (</w:t>
      </w:r>
      <w:r w:rsidRPr="005D5D6A">
        <w:rPr>
          <w:noProof/>
          <w:szCs w:val="18"/>
          <w:lang w:val="fr-FR"/>
        </w:rPr>
        <w:sym w:font="Symbol" w:char="F065"/>
      </w:r>
      <w:r w:rsidRPr="00874199">
        <w:rPr>
          <w:noProof/>
          <w:szCs w:val="18"/>
        </w:rPr>
        <w:t>’), y el cambio de la fase con el factor de pérdidas (</w:t>
      </w:r>
      <w:r w:rsidRPr="005D5D6A">
        <w:rPr>
          <w:noProof/>
          <w:szCs w:val="18"/>
          <w:lang w:val="fr-FR"/>
        </w:rPr>
        <w:sym w:font="Symbol" w:char="F065"/>
      </w:r>
      <w:r w:rsidRPr="00874199">
        <w:rPr>
          <w:noProof/>
          <w:szCs w:val="18"/>
        </w:rPr>
        <w:t>’’). La permitividad refleja el número de dipolos que hay en el material. El factor de pérdidas es una medida de la pérdida de energía total debido al trabajo necesario para orientarse los dipolos y moverse las especies cargadas, y está relacionada con la conductividad iónica (</w:t>
      </w:r>
      <w:r w:rsidRPr="005D5D6A">
        <w:rPr>
          <w:noProof/>
          <w:szCs w:val="18"/>
          <w:lang w:val="fr-FR"/>
        </w:rPr>
        <w:t>σ</w:t>
      </w:r>
      <w:r w:rsidRPr="00874199">
        <w:rPr>
          <w:noProof/>
          <w:szCs w:val="18"/>
        </w:rPr>
        <w:t>), inversa de la viscosidad iónica (</w:t>
      </w:r>
      <w:r w:rsidRPr="005D5D6A">
        <w:rPr>
          <w:noProof/>
          <w:szCs w:val="18"/>
          <w:lang w:val="fr-FR"/>
        </w:rPr>
        <w:t>ρ</w:t>
      </w:r>
      <w:r w:rsidRPr="00874199">
        <w:rPr>
          <w:noProof/>
          <w:szCs w:val="18"/>
        </w:rPr>
        <w:t xml:space="preserve">). La utilización de la viscosidad iónica para la monitorización del curado ha sido ampliamente descrita en la literatura </w:t>
      </w:r>
      <w:r w:rsidRPr="005D5D6A">
        <w:rPr>
          <w:noProof/>
          <w:szCs w:val="18"/>
          <w:lang w:val="fr-FR"/>
        </w:rPr>
        <w:fldChar w:fldCharType="begin"/>
      </w:r>
      <w:r w:rsidRPr="00874199">
        <w:rPr>
          <w:noProof/>
          <w:szCs w:val="18"/>
        </w:rPr>
        <w:instrText xml:space="preserve"> ADDIN ZOTERO_ITEM CSL_CITATION {"citationID":"9rsVdmqG","properties":{"formattedCitation":"[6]","plainCitation":"[6]","noteIndex":0},"citationItems":[{"id":170,"uris":["http://zotero.org/users/1495681/items/RXAXA85X"],"itemData":{"id":170,"type":"article-journal","abstract":"The aim of the present work was to establish a cure-prediction via dielectric analysis (DEA) for a bisphenol A diglycidyl ether (DGEBA) epoxy cured with an imidazolium-based ionic liquid [EMIM][N(CN)2]. Ionic liquids caught increasingly attention in the composite industry due to their potential use as efficient latent curing agent and hence possible optimization of production cycles. Dielectric analysis is a promising tool for mass-scale composite production for monitoring cure and as feedback control system, however a profound correlation to thermal and rheological properties is necessary. For this purpose, complementary cure kinetic modeling of the neat system was first carried out via differential scanning calorimetry (DSC) to allow the prediction of the degree of cure and glass transition temperature Tg during the curing cycle. The focus laid on the comparison between isoconversional and model-based prediction and the influence of the implementation of the diffusion factor. Dielectric measurements were conducted and afterwards a cure prediction based on these results was established. Problems with ionic liquids as curing agent along with using DEA as characterization method were addressed. Consequently, to verify the previously obtained outcome, dielectric analysis was conducted to real-time monitor the crosslinking during the resin transfer molding (RTM) process. Sufficient agreement to theoretical cure prediction based on DSC and DEA results with actual conversion during RTM was observed.","container-title":"Polymer Composites","DOI":"10.1002/pc.25306","ISSN":"1548-0569","issue":"12","language":"en","note":"_eprint: https://onlinelibrary.wiley.com/doi/pdf/10.1002/pc.25306","page":"4500-4509","source":"Wiley Online Library","title":"Dielectric analysis monitoring of thermoset curing with ionic liquids: From modeling to the prediction in the resin transfer molding process","title-short":"Dielectric analysis monitoring of thermoset curing with ionic liquids","URL":"https://onlinelibrary.wiley.com/doi/abs/10.1002/pc.25306","volume":"40","author":[{"family":"Demleitner","given":"Martin"},{"family":"Sanchez</w:instrText>
      </w:r>
      <w:r w:rsidRPr="00874199">
        <w:rPr>
          <w:rFonts w:ascii="Cambria Math" w:hAnsi="Cambria Math" w:cs="Cambria Math"/>
          <w:noProof/>
          <w:szCs w:val="18"/>
        </w:rPr>
        <w:instrText>‐</w:instrText>
      </w:r>
      <w:r w:rsidRPr="00874199">
        <w:rPr>
          <w:noProof/>
          <w:szCs w:val="18"/>
        </w:rPr>
        <w:instrText xml:space="preserve">Vazquez","given":"Sandra Aline"},{"family":"Raps","given":"Daniel"},{"family":"Bakis","given":"Gökhan"},{"family":"Pflock","given":"Tobias"},{"family":"Chaloupka","given":"Alexander"},{"family":"Schmölzer","given":"Stefan"},{"family":"Altstädt","given":"Volker"}],"accessed":{"date-parts":[["2020",2,27]]},"issued":{"date-parts":[["2019"]]}}}],"schema":"https://github.com/citation-style-language/schema/raw/master/csl-citation.json"} </w:instrText>
      </w:r>
      <w:r w:rsidRPr="005D5D6A">
        <w:rPr>
          <w:noProof/>
          <w:szCs w:val="18"/>
          <w:lang w:val="fr-FR"/>
        </w:rPr>
        <w:fldChar w:fldCharType="separate"/>
      </w:r>
      <w:r w:rsidRPr="00874199">
        <w:rPr>
          <w:noProof/>
          <w:szCs w:val="18"/>
        </w:rPr>
        <w:t>[6]</w:t>
      </w:r>
      <w:r w:rsidRPr="005D5D6A">
        <w:rPr>
          <w:noProof/>
          <w:szCs w:val="18"/>
          <w:lang w:val="fr-FR"/>
        </w:rPr>
        <w:fldChar w:fldCharType="end"/>
      </w:r>
      <w:r w:rsidRPr="00874199">
        <w:rPr>
          <w:noProof/>
          <w:szCs w:val="18"/>
        </w:rPr>
        <w:t>.</w:t>
      </w:r>
    </w:p>
    <w:p w14:paraId="4AB34AD1" w14:textId="2F5CB881" w:rsidR="005D5D6A" w:rsidRPr="006E5A47" w:rsidRDefault="005D5D6A" w:rsidP="005D5D6A">
      <w:pPr>
        <w:rPr>
          <w:noProof/>
          <w:szCs w:val="18"/>
        </w:rPr>
      </w:pPr>
      <w:r w:rsidRPr="006E5A47">
        <w:rPr>
          <w:noProof/>
          <w:szCs w:val="18"/>
        </w:rPr>
        <w:t xml:space="preserve">Las probetas referentes a las formulaciones aditivadas con ignifugante se prepararon mediante el siguiente sistema mostrado en la </w:t>
      </w:r>
      <w:r w:rsidRPr="005D5D6A">
        <w:rPr>
          <w:noProof/>
          <w:szCs w:val="18"/>
          <w:lang w:val="fr-FR"/>
        </w:rPr>
        <w:fldChar w:fldCharType="begin"/>
      </w:r>
      <w:r w:rsidRPr="006E5A47">
        <w:rPr>
          <w:noProof/>
          <w:szCs w:val="18"/>
        </w:rPr>
        <w:instrText xml:space="preserve"> REF _Ref102113053 \h  \* MERGEFORMAT </w:instrText>
      </w:r>
      <w:r w:rsidRPr="005D5D6A">
        <w:rPr>
          <w:noProof/>
          <w:szCs w:val="18"/>
          <w:lang w:val="fr-FR"/>
        </w:rPr>
      </w:r>
      <w:r w:rsidRPr="005D5D6A">
        <w:rPr>
          <w:noProof/>
          <w:szCs w:val="18"/>
          <w:lang w:val="fr-FR"/>
        </w:rPr>
        <w:fldChar w:fldCharType="separate"/>
      </w:r>
      <w:r w:rsidR="0091047C" w:rsidRPr="0091047C">
        <w:rPr>
          <w:noProof/>
          <w:szCs w:val="18"/>
        </w:rPr>
        <w:t>Figura 2</w:t>
      </w:r>
      <w:r w:rsidRPr="005D5D6A">
        <w:rPr>
          <w:noProof/>
          <w:szCs w:val="18"/>
          <w:lang w:val="fr-FR"/>
        </w:rPr>
        <w:fldChar w:fldCharType="end"/>
      </w:r>
      <w:r w:rsidRPr="006E5A47">
        <w:rPr>
          <w:noProof/>
          <w:szCs w:val="18"/>
        </w:rPr>
        <w:t>.</w:t>
      </w:r>
    </w:p>
    <w:p w14:paraId="0B230F54" w14:textId="5B0FBC64" w:rsidR="003E685B" w:rsidRDefault="005D5D6A" w:rsidP="003E685B">
      <w:pPr>
        <w:autoSpaceDE w:val="0"/>
        <w:autoSpaceDN w:val="0"/>
        <w:adjustRightInd w:val="0"/>
        <w:jc w:val="center"/>
        <w:rPr>
          <w:bCs/>
          <w:sz w:val="22"/>
        </w:rPr>
      </w:pPr>
      <w:r w:rsidRPr="008A78C0">
        <w:rPr>
          <w:noProof/>
        </w:rPr>
        <w:drawing>
          <wp:inline distT="0" distB="0" distL="0" distR="0" wp14:anchorId="0A58362D" wp14:editId="789D1789">
            <wp:extent cx="2700000" cy="1934761"/>
            <wp:effectExtent l="0" t="0" r="571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0000" cy="1934761"/>
                    </a:xfrm>
                    <a:prstGeom prst="rect">
                      <a:avLst/>
                    </a:prstGeom>
                    <a:noFill/>
                    <a:ln>
                      <a:noFill/>
                    </a:ln>
                  </pic:spPr>
                </pic:pic>
              </a:graphicData>
            </a:graphic>
          </wp:inline>
        </w:drawing>
      </w:r>
    </w:p>
    <w:p w14:paraId="1E883CE7" w14:textId="47F0C6C6" w:rsidR="005D5D6A" w:rsidRPr="00662C27" w:rsidRDefault="005D5D6A" w:rsidP="005D5D6A">
      <w:pPr>
        <w:autoSpaceDE w:val="0"/>
        <w:autoSpaceDN w:val="0"/>
        <w:adjustRightInd w:val="0"/>
        <w:rPr>
          <w:bCs/>
          <w:sz w:val="22"/>
        </w:rPr>
      </w:pPr>
      <w:bookmarkStart w:id="2" w:name="_Ref102113053"/>
      <w:r w:rsidRPr="005D5D6A">
        <w:rPr>
          <w:b/>
          <w:noProof/>
          <w:sz w:val="16"/>
          <w:szCs w:val="16"/>
        </w:rPr>
        <w:t xml:space="preserve">Figura </w:t>
      </w:r>
      <w:r w:rsidRPr="005D5D6A">
        <w:rPr>
          <w:b/>
          <w:noProof/>
          <w:sz w:val="16"/>
          <w:szCs w:val="16"/>
        </w:rPr>
        <w:fldChar w:fldCharType="begin"/>
      </w:r>
      <w:r w:rsidRPr="005D5D6A">
        <w:rPr>
          <w:b/>
          <w:noProof/>
          <w:sz w:val="16"/>
          <w:szCs w:val="16"/>
        </w:rPr>
        <w:instrText xml:space="preserve"> SEQ Figura \* ARABIC </w:instrText>
      </w:r>
      <w:r w:rsidRPr="005D5D6A">
        <w:rPr>
          <w:b/>
          <w:noProof/>
          <w:sz w:val="16"/>
          <w:szCs w:val="16"/>
        </w:rPr>
        <w:fldChar w:fldCharType="separate"/>
      </w:r>
      <w:r w:rsidR="0091047C">
        <w:rPr>
          <w:b/>
          <w:noProof/>
          <w:sz w:val="16"/>
          <w:szCs w:val="16"/>
        </w:rPr>
        <w:t>2</w:t>
      </w:r>
      <w:r w:rsidRPr="005D5D6A">
        <w:rPr>
          <w:b/>
          <w:noProof/>
          <w:sz w:val="16"/>
          <w:szCs w:val="16"/>
        </w:rPr>
        <w:fldChar w:fldCharType="end"/>
      </w:r>
      <w:bookmarkEnd w:id="2"/>
      <w:r w:rsidRPr="006C6F25">
        <w:rPr>
          <w:sz w:val="16"/>
          <w:szCs w:val="16"/>
        </w:rPr>
        <w:t xml:space="preserve"> Sistema experimental para la preparación de probetas por curado UV de las formulaciones </w:t>
      </w:r>
      <w:proofErr w:type="spellStart"/>
      <w:r w:rsidRPr="006C6F25">
        <w:rPr>
          <w:sz w:val="16"/>
          <w:szCs w:val="16"/>
        </w:rPr>
        <w:t>ignifugante</w:t>
      </w:r>
      <w:proofErr w:type="spellEnd"/>
      <w:r w:rsidRPr="006C6F25">
        <w:rPr>
          <w:sz w:val="16"/>
          <w:szCs w:val="16"/>
        </w:rPr>
        <w:t>/resina.</w:t>
      </w:r>
    </w:p>
    <w:p w14:paraId="51CC7B31" w14:textId="540F60D3" w:rsidR="00F7207A" w:rsidRPr="00D00730" w:rsidRDefault="005D5D6A" w:rsidP="00FF18A5">
      <w:pPr>
        <w:pStyle w:val="Ttulo2"/>
        <w:rPr>
          <w:noProof/>
        </w:rPr>
      </w:pPr>
      <w:proofErr w:type="spellStart"/>
      <w:r>
        <w:t>Caracterización</w:t>
      </w:r>
      <w:proofErr w:type="spellEnd"/>
      <w:r>
        <w:t xml:space="preserve"> </w:t>
      </w:r>
      <w:proofErr w:type="spellStart"/>
      <w:r>
        <w:t>comportamiento</w:t>
      </w:r>
      <w:proofErr w:type="spellEnd"/>
      <w:r>
        <w:t xml:space="preserve"> al </w:t>
      </w:r>
      <w:proofErr w:type="spellStart"/>
      <w:r>
        <w:t>fuego</w:t>
      </w:r>
      <w:proofErr w:type="spellEnd"/>
    </w:p>
    <w:p w14:paraId="6841CC8C" w14:textId="50C52A43" w:rsidR="00FF18A5" w:rsidRPr="00636204" w:rsidRDefault="005D5D6A" w:rsidP="00636204">
      <w:pPr>
        <w:pStyle w:val="Ttulo3"/>
      </w:pPr>
      <w:r>
        <w:t>Propiedades frente al fuego formulaciones y composites</w:t>
      </w:r>
    </w:p>
    <w:p w14:paraId="6EF8CA0E" w14:textId="70520D9E" w:rsidR="005D5D6A" w:rsidRDefault="005D5D6A" w:rsidP="005D5D6A">
      <w:pPr>
        <w:rPr>
          <w:noProof/>
          <w:szCs w:val="18"/>
        </w:rPr>
      </w:pPr>
      <w:r w:rsidRPr="005D5D6A">
        <w:rPr>
          <w:noProof/>
          <w:szCs w:val="18"/>
        </w:rPr>
        <w:t xml:space="preserve">Se caracterizaron todas las formulaciones ignífugas, Apyral (20X, 30X, 22, 33) al (20, 40, 60 phr) y composite mediante cono calorimétrico. La norma utilizada para la realización de los ensayos fue s/n ISO 5660-1:2015 + Amd.1:2019. Ensayos de reacción al fuego. Desprendimiento de calor, producción de humos y pérdida de masa. Parte 1: velocidad de generación de calor (método del cono calorimétrico). Para la realización de los ensayos todas las probetas se acondicionaron entre 23 ± 2 ºC y 50 ± 5 % de humedad relativa hasta conseguir peso constante </w:t>
      </w:r>
      <w:r w:rsidRPr="005D5D6A">
        <w:rPr>
          <w:noProof/>
          <w:szCs w:val="18"/>
        </w:rPr>
        <w:t>según las citadas normas. La radiación utilizada fue de 50 kW/m2 sobre la superficie de la probeta a una distancia de 25 mm entre la superficie de la probeta y el borde inferior del cono radiante. Se ensayaron tres probetas por muestra (100 x 100 x 3 mm) para obtener los valores medios. Se determinaron los datos convencionales (tiempo de ignición, tasa de desprendimiento de calor y calor total desprendido).</w:t>
      </w:r>
    </w:p>
    <w:p w14:paraId="60D0AC31" w14:textId="77777777" w:rsidR="005D5D6A" w:rsidRPr="00636204" w:rsidRDefault="005D5D6A" w:rsidP="005D5D6A">
      <w:pPr>
        <w:pStyle w:val="Ttulo3"/>
      </w:pPr>
      <w:r>
        <w:t>Propiedades frente al fuego formulaciones y composites</w:t>
      </w:r>
    </w:p>
    <w:p w14:paraId="573B2242" w14:textId="26D52DD7" w:rsidR="005D5D6A" w:rsidRDefault="005D5D6A" w:rsidP="005D5D6A">
      <w:pPr>
        <w:rPr>
          <w:noProof/>
          <w:szCs w:val="18"/>
        </w:rPr>
      </w:pPr>
      <w:r w:rsidRPr="005D5D6A">
        <w:rPr>
          <w:noProof/>
          <w:szCs w:val="18"/>
        </w:rPr>
        <w:t>La fracción de peso de fibra de vidrio de los composites fabricados se midió por calcinación de la matriz en un horno de mufla a 600ºC durante 6 h en crisoles precalentados. Los refuerzos se pesaron tras enfriamiento a temperatura ambiente en un desecador, según norma ASTM D3171-15. Los ensayos de resistencia al c</w:t>
      </w:r>
      <w:r>
        <w:rPr>
          <w:noProof/>
          <w:szCs w:val="18"/>
        </w:rPr>
        <w:t>orte</w:t>
      </w:r>
      <w:r w:rsidRPr="005D5D6A">
        <w:rPr>
          <w:noProof/>
          <w:szCs w:val="18"/>
        </w:rPr>
        <w:t xml:space="preserve"> interlaminar (ILSS) y de las propiedades de flexión se llevaron a cabo utilizando la máquina de ensayos universal AG-X 5 kN de Shimadzu. Las propiedades de ILSS se ensayaron según la norma UNE EN ISO 14130:1999, con una velocidad de carga de 1 mm/min. Las propiedades de flexión se obtuvieron según la norma ASTM D790-10. La distancia entre los dos puntos de apoyo se fijó en 40 mm, y la velocidad de carga fue de 1 mm/min. Las muestras se acondicionaron antes de los ensayos durante 200 h a 23 ºC y 50 % RH (humedad relativa). Ambos experimentos se realizaron a temperatura ambiente. Los valores resultantes se promediaron con cinco probetas de cada muestra.</w:t>
      </w:r>
    </w:p>
    <w:p w14:paraId="5B4C5A4F" w14:textId="14376BF7" w:rsidR="003E685B" w:rsidRPr="003E685B" w:rsidRDefault="003E685B" w:rsidP="003E685B">
      <w:pPr>
        <w:pStyle w:val="Ttulo1"/>
        <w:ind w:left="431" w:hanging="431"/>
      </w:pPr>
      <w:r w:rsidRPr="003E685B">
        <w:t>Resultados y discusión</w:t>
      </w:r>
    </w:p>
    <w:p w14:paraId="123328CF" w14:textId="77777777" w:rsidR="003E685B" w:rsidRPr="003E685B" w:rsidRDefault="003E685B" w:rsidP="003E685B">
      <w:pPr>
        <w:pStyle w:val="Ttulo2"/>
      </w:pPr>
      <w:proofErr w:type="spellStart"/>
      <w:r w:rsidRPr="003E685B">
        <w:t>Curado</w:t>
      </w:r>
      <w:proofErr w:type="spellEnd"/>
      <w:r w:rsidRPr="003E685B">
        <w:t xml:space="preserve"> </w:t>
      </w:r>
      <w:proofErr w:type="spellStart"/>
      <w:r w:rsidRPr="003E685B">
        <w:t>ultravioleta</w:t>
      </w:r>
      <w:proofErr w:type="spellEnd"/>
      <w:r w:rsidRPr="003E685B">
        <w:t xml:space="preserve"> </w:t>
      </w:r>
      <w:proofErr w:type="spellStart"/>
      <w:r w:rsidRPr="003E685B">
        <w:t>formulaciones</w:t>
      </w:r>
      <w:proofErr w:type="spellEnd"/>
      <w:r w:rsidRPr="003E685B">
        <w:t xml:space="preserve"> – </w:t>
      </w:r>
      <w:proofErr w:type="spellStart"/>
      <w:r w:rsidRPr="003E685B">
        <w:t>Análisis</w:t>
      </w:r>
      <w:proofErr w:type="spellEnd"/>
      <w:r w:rsidRPr="003E685B">
        <w:t xml:space="preserve"> </w:t>
      </w:r>
      <w:proofErr w:type="spellStart"/>
      <w:r w:rsidRPr="003E685B">
        <w:t>dieléctrico</w:t>
      </w:r>
      <w:proofErr w:type="spellEnd"/>
    </w:p>
    <w:p w14:paraId="45CDFA05" w14:textId="61205121" w:rsidR="003E685B" w:rsidRDefault="003E685B" w:rsidP="003E685B">
      <w:pPr>
        <w:rPr>
          <w:noProof/>
          <w:szCs w:val="18"/>
        </w:rPr>
      </w:pPr>
      <w:r w:rsidRPr="003E685B">
        <w:rPr>
          <w:noProof/>
          <w:szCs w:val="18"/>
        </w:rPr>
        <w:t xml:space="preserve">La </w:t>
      </w:r>
      <w:r w:rsidRPr="003E685B">
        <w:rPr>
          <w:noProof/>
          <w:szCs w:val="18"/>
        </w:rPr>
        <w:fldChar w:fldCharType="begin"/>
      </w:r>
      <w:r w:rsidRPr="003E685B">
        <w:rPr>
          <w:noProof/>
          <w:szCs w:val="18"/>
        </w:rPr>
        <w:instrText xml:space="preserve"> REF _Ref102128499 \h  \* MERGEFORMAT </w:instrText>
      </w:r>
      <w:r w:rsidRPr="003E685B">
        <w:rPr>
          <w:noProof/>
          <w:szCs w:val="18"/>
        </w:rPr>
      </w:r>
      <w:r w:rsidRPr="003E685B">
        <w:rPr>
          <w:noProof/>
          <w:szCs w:val="18"/>
        </w:rPr>
        <w:fldChar w:fldCharType="separate"/>
      </w:r>
      <w:r w:rsidR="0091047C" w:rsidRPr="0091047C">
        <w:rPr>
          <w:noProof/>
          <w:szCs w:val="18"/>
        </w:rPr>
        <w:t>Figura 3</w:t>
      </w:r>
      <w:r w:rsidRPr="003E685B">
        <w:rPr>
          <w:noProof/>
          <w:szCs w:val="18"/>
        </w:rPr>
        <w:fldChar w:fldCharType="end"/>
      </w:r>
      <w:r w:rsidRPr="003E685B">
        <w:rPr>
          <w:noProof/>
          <w:szCs w:val="18"/>
        </w:rPr>
        <w:t xml:space="preserve"> muestra el tiempo de curado necesario para cada formulación donde las curvas de la viscosidad iónica llegan a un valor constante. Analizando las curvas, se puede afirmar que la transmitancia de la luz se reduce debido al aumento de ATH en las formulaciones en base a Apyral 30, 22 y 33. Sin embargo, la formulación en base a Apyral20 se mantiene constante a pesar de aumentar su contenido en la resina UV. La principal característica del ignifugante Apyral20, es que posee una superficie específica (BET) menor (1,2 m2/g) en comparación con los demás ignifugantes. </w:t>
      </w:r>
    </w:p>
    <w:p w14:paraId="6E96A1D1" w14:textId="3013C3F0" w:rsidR="003E685B" w:rsidRPr="003E685B" w:rsidRDefault="00BF1B1F" w:rsidP="003E685B">
      <w:pPr>
        <w:rPr>
          <w:noProof/>
          <w:szCs w:val="18"/>
        </w:rPr>
      </w:pPr>
      <w:r w:rsidRPr="00BF1B1F">
        <w:rPr>
          <w:noProof/>
        </w:rPr>
        <w:drawing>
          <wp:inline distT="0" distB="0" distL="0" distR="0" wp14:anchorId="05A89F34" wp14:editId="0E9C803C">
            <wp:extent cx="3194685" cy="996315"/>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4685" cy="996315"/>
                    </a:xfrm>
                    <a:prstGeom prst="rect">
                      <a:avLst/>
                    </a:prstGeom>
                    <a:noFill/>
                    <a:ln>
                      <a:noFill/>
                    </a:ln>
                  </pic:spPr>
                </pic:pic>
              </a:graphicData>
            </a:graphic>
          </wp:inline>
        </w:drawing>
      </w:r>
    </w:p>
    <w:p w14:paraId="680C111E" w14:textId="1E51F6F9" w:rsidR="00BF1B1F" w:rsidRDefault="00BF1B1F" w:rsidP="00BF1B1F">
      <w:pPr>
        <w:pStyle w:val="Descripcin"/>
        <w:spacing w:after="120"/>
        <w:rPr>
          <w:b w:val="0"/>
          <w:bCs w:val="0"/>
          <w:color w:val="auto"/>
          <w:sz w:val="16"/>
          <w:szCs w:val="16"/>
        </w:rPr>
      </w:pPr>
      <w:bookmarkStart w:id="3" w:name="_Ref102128499"/>
      <w:r w:rsidRPr="00BF1B1F">
        <w:rPr>
          <w:bCs w:val="0"/>
          <w:noProof/>
          <w:color w:val="auto"/>
          <w:sz w:val="16"/>
          <w:szCs w:val="16"/>
        </w:rPr>
        <w:t xml:space="preserve">Figura </w:t>
      </w:r>
      <w:r w:rsidRPr="00BF1B1F">
        <w:rPr>
          <w:bCs w:val="0"/>
          <w:noProof/>
          <w:color w:val="auto"/>
          <w:sz w:val="16"/>
          <w:szCs w:val="16"/>
        </w:rPr>
        <w:fldChar w:fldCharType="begin"/>
      </w:r>
      <w:r w:rsidRPr="00BF1B1F">
        <w:rPr>
          <w:bCs w:val="0"/>
          <w:noProof/>
          <w:color w:val="auto"/>
          <w:sz w:val="16"/>
          <w:szCs w:val="16"/>
        </w:rPr>
        <w:instrText xml:space="preserve"> SEQ Figura \* ARABIC </w:instrText>
      </w:r>
      <w:r w:rsidRPr="00BF1B1F">
        <w:rPr>
          <w:bCs w:val="0"/>
          <w:noProof/>
          <w:color w:val="auto"/>
          <w:sz w:val="16"/>
          <w:szCs w:val="16"/>
        </w:rPr>
        <w:fldChar w:fldCharType="separate"/>
      </w:r>
      <w:r w:rsidR="0091047C">
        <w:rPr>
          <w:bCs w:val="0"/>
          <w:noProof/>
          <w:color w:val="auto"/>
          <w:sz w:val="16"/>
          <w:szCs w:val="16"/>
        </w:rPr>
        <w:t>3</w:t>
      </w:r>
      <w:r w:rsidRPr="00BF1B1F">
        <w:rPr>
          <w:bCs w:val="0"/>
          <w:noProof/>
          <w:color w:val="auto"/>
          <w:sz w:val="16"/>
          <w:szCs w:val="16"/>
        </w:rPr>
        <w:fldChar w:fldCharType="end"/>
      </w:r>
      <w:bookmarkEnd w:id="3"/>
      <w:r w:rsidRPr="00F201AB">
        <w:rPr>
          <w:sz w:val="16"/>
          <w:szCs w:val="16"/>
        </w:rPr>
        <w:t xml:space="preserve"> </w:t>
      </w:r>
      <w:r w:rsidRPr="00BF1B1F">
        <w:rPr>
          <w:b w:val="0"/>
          <w:bCs w:val="0"/>
          <w:color w:val="auto"/>
          <w:sz w:val="16"/>
          <w:szCs w:val="16"/>
        </w:rPr>
        <w:t>Comportamiento del grado de curado de los cuatro grupos de formulación en función de la cantidad de relleno en el sistema de resina UV puro. Líneas representadas para su interpretación visual.</w:t>
      </w:r>
    </w:p>
    <w:p w14:paraId="53B31FB2" w14:textId="77777777" w:rsidR="00BF1B1F" w:rsidRPr="00BF1B1F" w:rsidRDefault="00BF1B1F" w:rsidP="00BF1B1F">
      <w:pPr>
        <w:rPr>
          <w:noProof/>
          <w:szCs w:val="18"/>
        </w:rPr>
      </w:pPr>
      <w:r w:rsidRPr="00BF1B1F">
        <w:rPr>
          <w:noProof/>
          <w:szCs w:val="18"/>
        </w:rPr>
        <w:t>Por lo tanto, el aditivo que presenta una mejor tendencia en cuanto a tiempos de curado es la Apyral20, ya que independientemente del porcentaje utilizado su tiempo de curado es constante, lo que significa que se podrán conseguir mejores prestaciones frente al fuego sin penalizar en tiempo.</w:t>
      </w:r>
    </w:p>
    <w:p w14:paraId="2643BD6C" w14:textId="328BD283" w:rsidR="00BF1B1F" w:rsidRPr="00BF1B1F" w:rsidRDefault="00BF1B1F" w:rsidP="00BF1B1F">
      <w:pPr>
        <w:pStyle w:val="Ttulo2"/>
      </w:pPr>
      <w:proofErr w:type="spellStart"/>
      <w:r>
        <w:lastRenderedPageBreak/>
        <w:t>Cono</w:t>
      </w:r>
      <w:proofErr w:type="spellEnd"/>
      <w:r>
        <w:t xml:space="preserve"> </w:t>
      </w:r>
      <w:proofErr w:type="spellStart"/>
      <w:r>
        <w:t>calorimétrico</w:t>
      </w:r>
      <w:proofErr w:type="spellEnd"/>
    </w:p>
    <w:p w14:paraId="3A939653" w14:textId="38E18D47" w:rsidR="003E685B" w:rsidRDefault="00BF1B1F" w:rsidP="00BF1B1F">
      <w:pPr>
        <w:pStyle w:val="Ttulo3"/>
        <w:ind w:left="454" w:hanging="454"/>
      </w:pPr>
      <w:r>
        <w:t>Formulaciones</w:t>
      </w:r>
    </w:p>
    <w:p w14:paraId="0543E19F" w14:textId="26C2D445" w:rsidR="00BF1B1F" w:rsidRPr="00BF1B1F" w:rsidRDefault="00BF1B1F" w:rsidP="00BF1B1F">
      <w:pPr>
        <w:rPr>
          <w:noProof/>
          <w:szCs w:val="18"/>
        </w:rPr>
      </w:pPr>
      <w:r w:rsidRPr="00BF1B1F">
        <w:rPr>
          <w:noProof/>
          <w:szCs w:val="18"/>
        </w:rPr>
        <w:t xml:space="preserve">La tasa de liberación de calor (HRR), la tasa de emisión de calor (AHRE), el tiempo de ignición (tignición) y el calor total liberado (THR) son las propiedades del fuego que se miden con el cono calorímetro en un escenario de fuego bien definido </w:t>
      </w:r>
      <w:r w:rsidRPr="00BF1B1F">
        <w:rPr>
          <w:noProof/>
          <w:szCs w:val="18"/>
        </w:rPr>
        <w:fldChar w:fldCharType="begin"/>
      </w:r>
      <w:r w:rsidRPr="00BF1B1F">
        <w:rPr>
          <w:noProof/>
          <w:szCs w:val="18"/>
        </w:rPr>
        <w:instrText xml:space="preserve"> ADDIN ZOTERO_ITEM CSL_CITATION {"citationID":"Rnge9wrj","properties":{"formattedCitation":"[7]","plainCitation":"[7]","noteIndex":0},"citationItems":[{"id":1003,"uris":["http://zotero.org/users/1495681/items/3BFXAPQC"],"itemData":{"id":1003,"type":"article-journal","abstract":"There is little consensus within the fire science community on interpretation of cone calorimeter data, but there is a significant need to screen new flammability modified materials using the cone calorimeter. This article is the result of several discussions aiming to provide guidance in the use and interpretation of cone calorimetry for those directly involved with such measurements. This guidance is essentially empirical, and is not intended to replace the comprehensive scientific studies that already exist. The guidance discusses the fire scenario with respect to applied heat flux, length scale, temperature, ventilation, anaerobic pyrolysis and set-up represented by the cone calorimeter. The fire properties measured in the cone calorimeter are discussed, including heat release rate and its peak, the mass loss and char yield, effective heat of combustion and combustion efficiency, time to ignition and CO and smoke production together with deduced quantities such as FIGRA and MARHE. Special comments are made on the use of the cone calorimeter relating to sample thickness, textiles, foams and intumescent materials, and the distance of the cone heater from the sample surface. Finally, the relationship between cone calorimetry data and other tests is discussed. Copyright © 2007 John Wiley &amp; Sons, Ltd.","container-title":"Fire and Materials","DOI":"10.1002/fam.949","ISSN":"1099-1018","issue":"5","language":"en","note":"_eprint: https://onlinelibrary.wiley.com/doi/pdf/10.1002/fam.949","page":"327-354","source":"Wiley Online Library","title":"Development of fire-retarded materials—Interpretation of cone calorimeter data","URL":"https://onlinelibrary.wiley.com/doi/abs/10.1002/fam.949","volume":"31","author":[{"family":"Schartel","given":"B."},{"family":"Hull","given":"T. R."}],"accessed":{"date-parts":[["2022",4,29]]},"issued":{"date-parts":[["2007"]]}},"locator":"-"}],"schema":"https://github.com/citation-style-language/schema/raw/master/csl-citation.json"} </w:instrText>
      </w:r>
      <w:r w:rsidRPr="00BF1B1F">
        <w:rPr>
          <w:noProof/>
          <w:szCs w:val="18"/>
        </w:rPr>
        <w:fldChar w:fldCharType="separate"/>
      </w:r>
      <w:r w:rsidRPr="00BF1B1F">
        <w:rPr>
          <w:noProof/>
          <w:szCs w:val="18"/>
        </w:rPr>
        <w:t>[7]</w:t>
      </w:r>
      <w:r w:rsidRPr="00BF1B1F">
        <w:rPr>
          <w:noProof/>
          <w:szCs w:val="18"/>
        </w:rPr>
        <w:fldChar w:fldCharType="end"/>
      </w:r>
      <w:r w:rsidRPr="00BF1B1F">
        <w:rPr>
          <w:noProof/>
          <w:szCs w:val="18"/>
        </w:rPr>
        <w:t>. Las curvas de HRR para se muestran en l</w:t>
      </w:r>
      <w:r w:rsidR="001A62A7">
        <w:rPr>
          <w:noProof/>
          <w:szCs w:val="18"/>
        </w:rPr>
        <w:t xml:space="preserve">a </w:t>
      </w:r>
      <w:r w:rsidR="001A62A7">
        <w:rPr>
          <w:noProof/>
          <w:szCs w:val="18"/>
        </w:rPr>
        <w:fldChar w:fldCharType="begin"/>
      </w:r>
      <w:r w:rsidR="001A62A7">
        <w:rPr>
          <w:noProof/>
          <w:szCs w:val="18"/>
        </w:rPr>
        <w:instrText xml:space="preserve"> REF _Ref102126096 \h  \* MERGEFORMAT </w:instrText>
      </w:r>
      <w:r w:rsidR="001A62A7">
        <w:rPr>
          <w:noProof/>
          <w:szCs w:val="18"/>
        </w:rPr>
      </w:r>
      <w:r w:rsidR="001A62A7">
        <w:rPr>
          <w:noProof/>
          <w:szCs w:val="18"/>
        </w:rPr>
        <w:fldChar w:fldCharType="separate"/>
      </w:r>
      <w:r w:rsidR="0091047C" w:rsidRPr="0091047C">
        <w:rPr>
          <w:noProof/>
          <w:szCs w:val="18"/>
        </w:rPr>
        <w:t>Figura 4</w:t>
      </w:r>
      <w:r w:rsidR="001A62A7">
        <w:rPr>
          <w:noProof/>
          <w:szCs w:val="18"/>
        </w:rPr>
        <w:fldChar w:fldCharType="end"/>
      </w:r>
      <w:r w:rsidRPr="00BF1B1F">
        <w:rPr>
          <w:noProof/>
          <w:szCs w:val="18"/>
        </w:rPr>
        <w:t>, donde se han magnificado las curvas con mayor disminución en HRR. Se observa que para conseguir una disminución de hasta 250 KW/m2, son necesarios elevados porcentajes de carga ignífuga de Apyral (al 60%) para todas las formulaciones con la resina UV.</w:t>
      </w:r>
    </w:p>
    <w:p w14:paraId="5D43C9D1" w14:textId="34128420" w:rsidR="003E685B" w:rsidRDefault="00CE7573" w:rsidP="003E685B">
      <w:r w:rsidRPr="00CE7573">
        <w:rPr>
          <w:noProof/>
        </w:rPr>
        <w:drawing>
          <wp:inline distT="0" distB="0" distL="0" distR="0" wp14:anchorId="137D5A67" wp14:editId="20E6C1CC">
            <wp:extent cx="3194685" cy="1944370"/>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4685" cy="1944370"/>
                    </a:xfrm>
                    <a:prstGeom prst="rect">
                      <a:avLst/>
                    </a:prstGeom>
                    <a:noFill/>
                    <a:ln>
                      <a:noFill/>
                    </a:ln>
                  </pic:spPr>
                </pic:pic>
              </a:graphicData>
            </a:graphic>
          </wp:inline>
        </w:drawing>
      </w:r>
    </w:p>
    <w:p w14:paraId="06F3D281" w14:textId="0354AA57" w:rsidR="00CE7573" w:rsidRPr="00CE7573" w:rsidRDefault="00CE7573" w:rsidP="00CE7573">
      <w:pPr>
        <w:pStyle w:val="Descripcin"/>
        <w:spacing w:after="120"/>
        <w:rPr>
          <w:b w:val="0"/>
          <w:bCs w:val="0"/>
          <w:color w:val="auto"/>
          <w:sz w:val="16"/>
          <w:szCs w:val="16"/>
        </w:rPr>
      </w:pPr>
      <w:bookmarkStart w:id="4" w:name="_Ref102126096"/>
      <w:r w:rsidRPr="00CE7573">
        <w:rPr>
          <w:bCs w:val="0"/>
          <w:noProof/>
          <w:color w:val="auto"/>
          <w:sz w:val="16"/>
          <w:szCs w:val="16"/>
        </w:rPr>
        <w:t xml:space="preserve">Figura </w:t>
      </w:r>
      <w:r w:rsidRPr="00CE7573">
        <w:rPr>
          <w:bCs w:val="0"/>
          <w:noProof/>
          <w:color w:val="auto"/>
          <w:sz w:val="16"/>
          <w:szCs w:val="16"/>
        </w:rPr>
        <w:fldChar w:fldCharType="begin"/>
      </w:r>
      <w:r w:rsidRPr="00CE7573">
        <w:rPr>
          <w:bCs w:val="0"/>
          <w:noProof/>
          <w:color w:val="auto"/>
          <w:sz w:val="16"/>
          <w:szCs w:val="16"/>
        </w:rPr>
        <w:instrText xml:space="preserve"> SEQ Figura \* ARABIC </w:instrText>
      </w:r>
      <w:r w:rsidRPr="00CE7573">
        <w:rPr>
          <w:bCs w:val="0"/>
          <w:noProof/>
          <w:color w:val="auto"/>
          <w:sz w:val="16"/>
          <w:szCs w:val="16"/>
        </w:rPr>
        <w:fldChar w:fldCharType="separate"/>
      </w:r>
      <w:r w:rsidR="0091047C">
        <w:rPr>
          <w:bCs w:val="0"/>
          <w:noProof/>
          <w:color w:val="auto"/>
          <w:sz w:val="16"/>
          <w:szCs w:val="16"/>
        </w:rPr>
        <w:t>4</w:t>
      </w:r>
      <w:r w:rsidRPr="00CE7573">
        <w:rPr>
          <w:bCs w:val="0"/>
          <w:noProof/>
          <w:color w:val="auto"/>
          <w:sz w:val="16"/>
          <w:szCs w:val="16"/>
        </w:rPr>
        <w:fldChar w:fldCharType="end"/>
      </w:r>
      <w:bookmarkEnd w:id="4"/>
      <w:r w:rsidRPr="006C6F25">
        <w:rPr>
          <w:sz w:val="16"/>
          <w:szCs w:val="16"/>
        </w:rPr>
        <w:t xml:space="preserve"> </w:t>
      </w:r>
      <w:r w:rsidRPr="00CE7573">
        <w:rPr>
          <w:b w:val="0"/>
          <w:bCs w:val="0"/>
          <w:color w:val="auto"/>
          <w:sz w:val="16"/>
          <w:szCs w:val="16"/>
        </w:rPr>
        <w:t xml:space="preserve">Representaciones del máximo de HRR, ARHE, THR en función de los porcentajes de las diferentes cargas </w:t>
      </w:r>
      <w:proofErr w:type="spellStart"/>
      <w:r w:rsidRPr="00CE7573">
        <w:rPr>
          <w:b w:val="0"/>
          <w:bCs w:val="0"/>
          <w:color w:val="auto"/>
          <w:sz w:val="16"/>
          <w:szCs w:val="16"/>
        </w:rPr>
        <w:t>ignifugantes</w:t>
      </w:r>
      <w:proofErr w:type="spellEnd"/>
      <w:r w:rsidRPr="00CE7573">
        <w:rPr>
          <w:b w:val="0"/>
          <w:bCs w:val="0"/>
          <w:color w:val="auto"/>
          <w:sz w:val="16"/>
          <w:szCs w:val="16"/>
        </w:rPr>
        <w:t xml:space="preserve"> (</w:t>
      </w:r>
      <w:proofErr w:type="spellStart"/>
      <w:r w:rsidRPr="00CE7573">
        <w:rPr>
          <w:b w:val="0"/>
          <w:bCs w:val="0"/>
          <w:color w:val="auto"/>
          <w:sz w:val="16"/>
          <w:szCs w:val="16"/>
        </w:rPr>
        <w:t>Apyral</w:t>
      </w:r>
      <w:proofErr w:type="spellEnd"/>
      <w:r w:rsidRPr="00CE7573">
        <w:rPr>
          <w:b w:val="0"/>
          <w:bCs w:val="0"/>
          <w:color w:val="auto"/>
          <w:sz w:val="16"/>
          <w:szCs w:val="16"/>
        </w:rPr>
        <w:t xml:space="preserve"> 20, 30, 22, 33) en la resina UV.</w:t>
      </w:r>
    </w:p>
    <w:p w14:paraId="29C0C061" w14:textId="08FC76E0" w:rsidR="00CE7573" w:rsidRPr="00CE7573" w:rsidRDefault="00CE7573" w:rsidP="00CE7573">
      <w:pPr>
        <w:rPr>
          <w:noProof/>
          <w:szCs w:val="18"/>
        </w:rPr>
      </w:pPr>
      <w:r w:rsidRPr="00CE7573">
        <w:rPr>
          <w:noProof/>
          <w:szCs w:val="18"/>
        </w:rPr>
        <w:t xml:space="preserve">Considerando los umbrales de emisión de calor (HL) de la industria ferroviaria según la norma EN 45545-2 y la clasificación del índice máximo de emisión (MARHE) según ISO 5560-1, se consideran los siguientes requisitos en las diferentes categorías de vehículos ferroviarios: HL1: tranvías y cercanías (MARHE&lt;NA), HL2: largo recorrido (MARHE &lt;90), y HL3: metros y coches cama (MARHE&lt;60). Por lo tanto, según la </w:t>
      </w:r>
      <w:r w:rsidRPr="00CE7573">
        <w:rPr>
          <w:noProof/>
          <w:szCs w:val="18"/>
        </w:rPr>
        <w:fldChar w:fldCharType="begin"/>
      </w:r>
      <w:r w:rsidRPr="00CE7573">
        <w:rPr>
          <w:noProof/>
          <w:szCs w:val="18"/>
        </w:rPr>
        <w:instrText xml:space="preserve"> REF _Ref102126096 \h  \* MERGEFORMAT </w:instrText>
      </w:r>
      <w:r w:rsidRPr="00CE7573">
        <w:rPr>
          <w:noProof/>
          <w:szCs w:val="18"/>
        </w:rPr>
      </w:r>
      <w:r w:rsidRPr="00CE7573">
        <w:rPr>
          <w:noProof/>
          <w:szCs w:val="18"/>
        </w:rPr>
        <w:fldChar w:fldCharType="separate"/>
      </w:r>
      <w:r w:rsidR="0091047C" w:rsidRPr="0091047C">
        <w:rPr>
          <w:noProof/>
          <w:szCs w:val="18"/>
        </w:rPr>
        <w:t>Figura 4</w:t>
      </w:r>
      <w:r w:rsidRPr="00CE7573">
        <w:rPr>
          <w:noProof/>
          <w:szCs w:val="18"/>
        </w:rPr>
        <w:fldChar w:fldCharType="end"/>
      </w:r>
      <w:r w:rsidRPr="00CE7573">
        <w:rPr>
          <w:noProof/>
          <w:szCs w:val="18"/>
        </w:rPr>
        <w:t xml:space="preserve"> (representación MARHE) se observa como para las formulaciones en base Apyral al 60</w:t>
      </w:r>
      <w:r w:rsidR="0091047C">
        <w:rPr>
          <w:noProof/>
          <w:szCs w:val="18"/>
        </w:rPr>
        <w:t xml:space="preserve"> </w:t>
      </w:r>
      <w:r w:rsidRPr="00CE7573">
        <w:rPr>
          <w:noProof/>
          <w:szCs w:val="18"/>
        </w:rPr>
        <w:t>% llegan a valores de 90 kW/m2, requisito mínimo para su aplicación en HL2. Por lo tanto, dichas formulaciones serían aptas para su uso en vehículos de cercanías y largo recorrido que no transiten por recorridos con túneles largos. Cabe destacar que los presentes valores corresponden a formulaciones de únicamente resina UV e ignifugante, por lo tanto, se estima que los valores de MARHE obtenidos disminuirán hasta al introducir la fibra de vidrio, debido al menor porcentaje de resina en el producto final (composite).</w:t>
      </w:r>
    </w:p>
    <w:p w14:paraId="62A100E9" w14:textId="2BA235F3" w:rsidR="00CE7573" w:rsidRPr="00CE7573" w:rsidRDefault="00CE7573" w:rsidP="00CE7573">
      <w:pPr>
        <w:rPr>
          <w:noProof/>
          <w:szCs w:val="18"/>
        </w:rPr>
      </w:pPr>
      <w:r w:rsidRPr="00CE7573">
        <w:rPr>
          <w:noProof/>
          <w:szCs w:val="18"/>
        </w:rPr>
        <w:t>Teniendo en cuenta los resultados obtenidos para las formulaciones ignífugas sus propiedades frente al fuego, se ha seleccionado como carga ignifugante más efectiva el ignifugante Apyral20X. Esta selección se ha realizado debido a su transparencia al curado UV, independientemente del porcentaje de carga en la formulación, y a su respuesta al fuego, llegando a presentar valores de MARHE en torno 90</w:t>
      </w:r>
      <w:r w:rsidR="0091047C">
        <w:rPr>
          <w:noProof/>
          <w:szCs w:val="18"/>
        </w:rPr>
        <w:t xml:space="preserve"> </w:t>
      </w:r>
      <w:r w:rsidRPr="00CE7573">
        <w:rPr>
          <w:noProof/>
          <w:szCs w:val="18"/>
        </w:rPr>
        <w:t>kW/m2 para porcentajes del 60 % carga ignífuga.</w:t>
      </w:r>
    </w:p>
    <w:p w14:paraId="45639365" w14:textId="50A50510" w:rsidR="00CE7573" w:rsidRDefault="00CE7573" w:rsidP="00CE7573">
      <w:pPr>
        <w:pStyle w:val="Ttulo3"/>
        <w:ind w:left="454" w:hanging="454"/>
      </w:pPr>
      <w:r>
        <w:t>Composites</w:t>
      </w:r>
    </w:p>
    <w:p w14:paraId="59183452" w14:textId="2D027D80" w:rsidR="00CE7573" w:rsidRPr="00CE7573" w:rsidRDefault="00CE7573" w:rsidP="00CE7573">
      <w:pPr>
        <w:rPr>
          <w:noProof/>
          <w:szCs w:val="18"/>
        </w:rPr>
      </w:pPr>
      <w:r w:rsidRPr="00CE7573">
        <w:rPr>
          <w:noProof/>
          <w:szCs w:val="18"/>
        </w:rPr>
        <w:t xml:space="preserve">Teniendo en cuenta los resultados obtenidos para las formulaciones ignífugas y sus características de curado UV y </w:t>
      </w:r>
      <w:r w:rsidRPr="00CE7573">
        <w:rPr>
          <w:noProof/>
          <w:szCs w:val="18"/>
        </w:rPr>
        <w:t xml:space="preserve">comportamiento frente al fuego, se seleccionó la formulación basada en Apyral20X para la fabricación de composite ignífugo de curado UV. Se fabricaron dos tipos de composites ignífugos con porcentajes de ATH (Apyral20X) según la siguiente </w:t>
      </w:r>
      <w:r w:rsidRPr="00CE7573">
        <w:rPr>
          <w:noProof/>
          <w:szCs w:val="18"/>
        </w:rPr>
        <w:fldChar w:fldCharType="begin"/>
      </w:r>
      <w:r w:rsidRPr="00CE7573">
        <w:rPr>
          <w:noProof/>
          <w:szCs w:val="18"/>
        </w:rPr>
        <w:instrText xml:space="preserve"> REF _Ref102130655 \h  \* MERGEFORMAT </w:instrText>
      </w:r>
      <w:r w:rsidRPr="00CE7573">
        <w:rPr>
          <w:noProof/>
          <w:szCs w:val="18"/>
        </w:rPr>
      </w:r>
      <w:r w:rsidRPr="00CE7573">
        <w:rPr>
          <w:noProof/>
          <w:szCs w:val="18"/>
        </w:rPr>
        <w:fldChar w:fldCharType="separate"/>
      </w:r>
      <w:r w:rsidR="0091047C" w:rsidRPr="0091047C">
        <w:rPr>
          <w:noProof/>
          <w:szCs w:val="18"/>
        </w:rPr>
        <w:t>Tabla 2</w:t>
      </w:r>
      <w:r w:rsidRPr="00CE7573">
        <w:rPr>
          <w:noProof/>
          <w:szCs w:val="18"/>
        </w:rPr>
        <w:fldChar w:fldCharType="end"/>
      </w:r>
      <w:r w:rsidRPr="00CE7573">
        <w:rPr>
          <w:noProof/>
          <w:szCs w:val="18"/>
        </w:rPr>
        <w:t>.</w:t>
      </w:r>
    </w:p>
    <w:p w14:paraId="736261E3" w14:textId="49A85A10" w:rsidR="00CE7573" w:rsidRPr="00CE7573" w:rsidRDefault="00CE7573" w:rsidP="00CE7573">
      <w:pPr>
        <w:pStyle w:val="Descripcin"/>
        <w:spacing w:after="0"/>
        <w:rPr>
          <w:b w:val="0"/>
          <w:bCs w:val="0"/>
          <w:color w:val="auto"/>
          <w:sz w:val="16"/>
          <w:szCs w:val="16"/>
        </w:rPr>
      </w:pPr>
      <w:bookmarkStart w:id="5" w:name="_Ref102130655"/>
      <w:r w:rsidRPr="00CE7573">
        <w:rPr>
          <w:bCs w:val="0"/>
          <w:noProof/>
          <w:color w:val="auto"/>
          <w:sz w:val="16"/>
          <w:szCs w:val="16"/>
        </w:rPr>
        <w:t xml:space="preserve">Tabla </w:t>
      </w:r>
      <w:r w:rsidRPr="00CE7573">
        <w:rPr>
          <w:bCs w:val="0"/>
          <w:noProof/>
          <w:color w:val="auto"/>
          <w:sz w:val="16"/>
          <w:szCs w:val="16"/>
        </w:rPr>
        <w:fldChar w:fldCharType="begin"/>
      </w:r>
      <w:r w:rsidRPr="00CE7573">
        <w:rPr>
          <w:bCs w:val="0"/>
          <w:noProof/>
          <w:color w:val="auto"/>
          <w:sz w:val="16"/>
          <w:szCs w:val="16"/>
        </w:rPr>
        <w:instrText xml:space="preserve"> SEQ Tabla \* ARABIC </w:instrText>
      </w:r>
      <w:r w:rsidRPr="00CE7573">
        <w:rPr>
          <w:bCs w:val="0"/>
          <w:noProof/>
          <w:color w:val="auto"/>
          <w:sz w:val="16"/>
          <w:szCs w:val="16"/>
        </w:rPr>
        <w:fldChar w:fldCharType="separate"/>
      </w:r>
      <w:r w:rsidR="0091047C">
        <w:rPr>
          <w:bCs w:val="0"/>
          <w:noProof/>
          <w:color w:val="auto"/>
          <w:sz w:val="16"/>
          <w:szCs w:val="16"/>
        </w:rPr>
        <w:t>2</w:t>
      </w:r>
      <w:r w:rsidRPr="00CE7573">
        <w:rPr>
          <w:bCs w:val="0"/>
          <w:noProof/>
          <w:color w:val="auto"/>
          <w:sz w:val="16"/>
          <w:szCs w:val="16"/>
        </w:rPr>
        <w:fldChar w:fldCharType="end"/>
      </w:r>
      <w:bookmarkEnd w:id="5"/>
      <w:r w:rsidRPr="00D0799A">
        <w:rPr>
          <w:sz w:val="16"/>
          <w:szCs w:val="16"/>
        </w:rPr>
        <w:t xml:space="preserve"> </w:t>
      </w:r>
      <w:r w:rsidRPr="00CE7573">
        <w:rPr>
          <w:b w:val="0"/>
          <w:bCs w:val="0"/>
          <w:color w:val="auto"/>
          <w:sz w:val="16"/>
          <w:szCs w:val="16"/>
        </w:rPr>
        <w:t>Porcentajes de fibra, resina y carga ignífuga presentes en cada formulación de composite ignífugo.</w:t>
      </w:r>
    </w:p>
    <w:tbl>
      <w:tblPr>
        <w:tblStyle w:val="Tablaconcuadrcula"/>
        <w:tblW w:w="5108" w:type="dxa"/>
        <w:jc w:val="center"/>
        <w:tblLayout w:type="fixed"/>
        <w:tblLook w:val="0600" w:firstRow="0" w:lastRow="0" w:firstColumn="0" w:lastColumn="0" w:noHBand="1" w:noVBand="1"/>
      </w:tblPr>
      <w:tblGrid>
        <w:gridCol w:w="1795"/>
        <w:gridCol w:w="967"/>
        <w:gridCol w:w="1067"/>
        <w:gridCol w:w="1279"/>
      </w:tblGrid>
      <w:tr w:rsidR="00CE7573" w:rsidRPr="00D0799A" w14:paraId="012D559D" w14:textId="77777777" w:rsidTr="003671F7">
        <w:trPr>
          <w:trHeight w:val="70"/>
          <w:jc w:val="center"/>
        </w:trPr>
        <w:tc>
          <w:tcPr>
            <w:tcW w:w="1795" w:type="dxa"/>
            <w:vAlign w:val="center"/>
            <w:hideMark/>
          </w:tcPr>
          <w:p w14:paraId="20523E39" w14:textId="77777777" w:rsidR="00CE7573" w:rsidRPr="003671F7" w:rsidRDefault="00CE7573" w:rsidP="003671F7">
            <w:pPr>
              <w:tabs>
                <w:tab w:val="left" w:pos="1603"/>
              </w:tabs>
              <w:spacing w:before="0" w:after="0"/>
              <w:jc w:val="center"/>
              <w:rPr>
                <w:rFonts w:cs="Arial"/>
                <w:b/>
                <w:bCs/>
                <w:szCs w:val="18"/>
              </w:rPr>
            </w:pPr>
            <w:r w:rsidRPr="003671F7">
              <w:rPr>
                <w:rFonts w:cs="Arial"/>
                <w:b/>
                <w:bCs/>
                <w:szCs w:val="18"/>
              </w:rPr>
              <w:t>Probeta</w:t>
            </w:r>
          </w:p>
        </w:tc>
        <w:tc>
          <w:tcPr>
            <w:tcW w:w="967" w:type="dxa"/>
            <w:vAlign w:val="center"/>
            <w:hideMark/>
          </w:tcPr>
          <w:p w14:paraId="0E29D4D2" w14:textId="77777777" w:rsidR="00CE7573" w:rsidRPr="003671F7" w:rsidRDefault="00CE7573" w:rsidP="003671F7">
            <w:pPr>
              <w:tabs>
                <w:tab w:val="left" w:pos="1603"/>
              </w:tabs>
              <w:spacing w:before="0" w:after="0"/>
              <w:jc w:val="center"/>
              <w:rPr>
                <w:rFonts w:cs="Arial"/>
                <w:b/>
                <w:bCs/>
                <w:szCs w:val="18"/>
              </w:rPr>
            </w:pPr>
            <w:r w:rsidRPr="003671F7">
              <w:rPr>
                <w:rFonts w:cs="Arial"/>
                <w:b/>
                <w:bCs/>
                <w:szCs w:val="18"/>
              </w:rPr>
              <w:t>% Fibra</w:t>
            </w:r>
          </w:p>
        </w:tc>
        <w:tc>
          <w:tcPr>
            <w:tcW w:w="1067" w:type="dxa"/>
            <w:vAlign w:val="center"/>
            <w:hideMark/>
          </w:tcPr>
          <w:p w14:paraId="75D63408" w14:textId="77777777" w:rsidR="00CE7573" w:rsidRPr="003671F7" w:rsidRDefault="00CE7573" w:rsidP="003671F7">
            <w:pPr>
              <w:tabs>
                <w:tab w:val="left" w:pos="1603"/>
              </w:tabs>
              <w:spacing w:before="0" w:after="0"/>
              <w:jc w:val="center"/>
              <w:rPr>
                <w:rFonts w:cs="Arial"/>
                <w:b/>
                <w:bCs/>
                <w:szCs w:val="18"/>
              </w:rPr>
            </w:pPr>
            <w:r w:rsidRPr="003671F7">
              <w:rPr>
                <w:rFonts w:cs="Arial"/>
                <w:b/>
                <w:bCs/>
                <w:szCs w:val="18"/>
              </w:rPr>
              <w:t>%Resina</w:t>
            </w:r>
          </w:p>
        </w:tc>
        <w:tc>
          <w:tcPr>
            <w:tcW w:w="1279" w:type="dxa"/>
            <w:vAlign w:val="center"/>
            <w:hideMark/>
          </w:tcPr>
          <w:p w14:paraId="35971C81" w14:textId="77777777" w:rsidR="00CE7573" w:rsidRPr="003671F7" w:rsidRDefault="00CE7573" w:rsidP="003671F7">
            <w:pPr>
              <w:tabs>
                <w:tab w:val="left" w:pos="1603"/>
              </w:tabs>
              <w:spacing w:before="0" w:after="0"/>
              <w:jc w:val="center"/>
              <w:rPr>
                <w:rFonts w:cs="Arial"/>
                <w:b/>
                <w:bCs/>
                <w:szCs w:val="18"/>
              </w:rPr>
            </w:pPr>
            <w:r w:rsidRPr="003671F7">
              <w:rPr>
                <w:rFonts w:cs="Arial"/>
                <w:b/>
                <w:bCs/>
                <w:szCs w:val="18"/>
              </w:rPr>
              <w:t>%Apyral20X</w:t>
            </w:r>
          </w:p>
        </w:tc>
      </w:tr>
      <w:tr w:rsidR="00CE7573" w:rsidRPr="00D0799A" w14:paraId="4A38A147" w14:textId="77777777" w:rsidTr="003671F7">
        <w:trPr>
          <w:trHeight w:val="70"/>
          <w:jc w:val="center"/>
        </w:trPr>
        <w:tc>
          <w:tcPr>
            <w:tcW w:w="1795" w:type="dxa"/>
            <w:vAlign w:val="center"/>
            <w:hideMark/>
          </w:tcPr>
          <w:p w14:paraId="433A05DB" w14:textId="77777777" w:rsidR="00CE7573" w:rsidRPr="003671F7" w:rsidRDefault="00CE7573" w:rsidP="003671F7">
            <w:pPr>
              <w:tabs>
                <w:tab w:val="left" w:pos="1603"/>
              </w:tabs>
              <w:spacing w:before="0" w:after="0"/>
              <w:jc w:val="center"/>
              <w:rPr>
                <w:rFonts w:cs="Arial"/>
                <w:b/>
                <w:bCs/>
                <w:sz w:val="16"/>
                <w:szCs w:val="16"/>
              </w:rPr>
            </w:pPr>
            <w:r w:rsidRPr="003671F7">
              <w:rPr>
                <w:rFonts w:cs="Arial"/>
                <w:b/>
                <w:bCs/>
                <w:sz w:val="16"/>
                <w:szCs w:val="16"/>
              </w:rPr>
              <w:t>Comp_Apy20_60%</w:t>
            </w:r>
          </w:p>
        </w:tc>
        <w:tc>
          <w:tcPr>
            <w:tcW w:w="967" w:type="dxa"/>
            <w:vAlign w:val="center"/>
            <w:hideMark/>
          </w:tcPr>
          <w:p w14:paraId="23FF87A4" w14:textId="77777777" w:rsidR="00CE7573" w:rsidRPr="003671F7" w:rsidRDefault="00CE7573" w:rsidP="003671F7">
            <w:pPr>
              <w:tabs>
                <w:tab w:val="left" w:pos="1603"/>
              </w:tabs>
              <w:spacing w:before="0" w:after="0"/>
              <w:jc w:val="center"/>
              <w:rPr>
                <w:rFonts w:cs="Arial"/>
                <w:szCs w:val="18"/>
              </w:rPr>
            </w:pPr>
            <w:r w:rsidRPr="003671F7">
              <w:rPr>
                <w:rFonts w:cs="Arial"/>
                <w:szCs w:val="18"/>
              </w:rPr>
              <w:t>29,48</w:t>
            </w:r>
          </w:p>
        </w:tc>
        <w:tc>
          <w:tcPr>
            <w:tcW w:w="1067" w:type="dxa"/>
            <w:vAlign w:val="center"/>
            <w:hideMark/>
          </w:tcPr>
          <w:p w14:paraId="1D035ECB" w14:textId="77777777" w:rsidR="00CE7573" w:rsidRPr="003671F7" w:rsidRDefault="00CE7573" w:rsidP="003671F7">
            <w:pPr>
              <w:tabs>
                <w:tab w:val="left" w:pos="1603"/>
              </w:tabs>
              <w:spacing w:before="0" w:after="0"/>
              <w:jc w:val="center"/>
              <w:rPr>
                <w:rFonts w:cs="Arial"/>
                <w:szCs w:val="18"/>
              </w:rPr>
            </w:pPr>
            <w:r w:rsidRPr="003671F7">
              <w:rPr>
                <w:rFonts w:cs="Arial"/>
                <w:szCs w:val="18"/>
              </w:rPr>
              <w:t>28,82</w:t>
            </w:r>
          </w:p>
        </w:tc>
        <w:tc>
          <w:tcPr>
            <w:tcW w:w="1279" w:type="dxa"/>
            <w:vAlign w:val="center"/>
            <w:hideMark/>
          </w:tcPr>
          <w:p w14:paraId="25585EC6" w14:textId="77777777" w:rsidR="00CE7573" w:rsidRPr="003671F7" w:rsidRDefault="00CE7573" w:rsidP="003671F7">
            <w:pPr>
              <w:tabs>
                <w:tab w:val="left" w:pos="1603"/>
              </w:tabs>
              <w:spacing w:before="0" w:after="0"/>
              <w:jc w:val="center"/>
              <w:rPr>
                <w:rFonts w:cs="Arial"/>
                <w:szCs w:val="18"/>
              </w:rPr>
            </w:pPr>
            <w:r w:rsidRPr="003671F7">
              <w:rPr>
                <w:rFonts w:cs="Arial"/>
                <w:szCs w:val="18"/>
              </w:rPr>
              <w:t>43,23</w:t>
            </w:r>
          </w:p>
        </w:tc>
      </w:tr>
      <w:tr w:rsidR="00CE7573" w:rsidRPr="00D0799A" w14:paraId="4D37795F" w14:textId="77777777" w:rsidTr="003671F7">
        <w:trPr>
          <w:trHeight w:val="35"/>
          <w:jc w:val="center"/>
        </w:trPr>
        <w:tc>
          <w:tcPr>
            <w:tcW w:w="1795" w:type="dxa"/>
            <w:vAlign w:val="center"/>
            <w:hideMark/>
          </w:tcPr>
          <w:p w14:paraId="79900857" w14:textId="77777777" w:rsidR="00CE7573" w:rsidRPr="003671F7" w:rsidRDefault="00CE7573" w:rsidP="003671F7">
            <w:pPr>
              <w:tabs>
                <w:tab w:val="left" w:pos="1603"/>
              </w:tabs>
              <w:spacing w:before="0" w:after="0"/>
              <w:jc w:val="center"/>
              <w:rPr>
                <w:rFonts w:cs="Arial"/>
                <w:b/>
                <w:bCs/>
                <w:sz w:val="16"/>
                <w:szCs w:val="16"/>
              </w:rPr>
            </w:pPr>
            <w:r w:rsidRPr="003671F7">
              <w:rPr>
                <w:rFonts w:cs="Arial"/>
                <w:b/>
                <w:bCs/>
                <w:sz w:val="16"/>
                <w:szCs w:val="16"/>
              </w:rPr>
              <w:t>Comp_Apy20_70%</w:t>
            </w:r>
          </w:p>
        </w:tc>
        <w:tc>
          <w:tcPr>
            <w:tcW w:w="967" w:type="dxa"/>
            <w:vAlign w:val="center"/>
            <w:hideMark/>
          </w:tcPr>
          <w:p w14:paraId="259CF2DC" w14:textId="77777777" w:rsidR="00CE7573" w:rsidRPr="003671F7" w:rsidRDefault="00CE7573" w:rsidP="003671F7">
            <w:pPr>
              <w:tabs>
                <w:tab w:val="left" w:pos="1603"/>
              </w:tabs>
              <w:spacing w:before="0" w:after="0"/>
              <w:jc w:val="center"/>
              <w:rPr>
                <w:rFonts w:cs="Arial"/>
                <w:szCs w:val="18"/>
              </w:rPr>
            </w:pPr>
            <w:r w:rsidRPr="003671F7">
              <w:rPr>
                <w:rFonts w:cs="Arial"/>
                <w:szCs w:val="18"/>
              </w:rPr>
              <w:t>24,45</w:t>
            </w:r>
          </w:p>
        </w:tc>
        <w:tc>
          <w:tcPr>
            <w:tcW w:w="1067" w:type="dxa"/>
            <w:vAlign w:val="center"/>
            <w:hideMark/>
          </w:tcPr>
          <w:p w14:paraId="111DA223" w14:textId="77777777" w:rsidR="00CE7573" w:rsidRPr="003671F7" w:rsidRDefault="00CE7573" w:rsidP="003671F7">
            <w:pPr>
              <w:tabs>
                <w:tab w:val="left" w:pos="1603"/>
              </w:tabs>
              <w:spacing w:before="0" w:after="0"/>
              <w:jc w:val="center"/>
              <w:rPr>
                <w:rFonts w:cs="Arial"/>
                <w:szCs w:val="18"/>
              </w:rPr>
            </w:pPr>
            <w:r w:rsidRPr="003671F7">
              <w:rPr>
                <w:rFonts w:cs="Arial"/>
                <w:szCs w:val="18"/>
              </w:rPr>
              <w:t>22,93</w:t>
            </w:r>
          </w:p>
        </w:tc>
        <w:tc>
          <w:tcPr>
            <w:tcW w:w="1279" w:type="dxa"/>
            <w:vAlign w:val="center"/>
            <w:hideMark/>
          </w:tcPr>
          <w:p w14:paraId="38E1E5BE" w14:textId="77777777" w:rsidR="00CE7573" w:rsidRPr="003671F7" w:rsidRDefault="00CE7573" w:rsidP="003671F7">
            <w:pPr>
              <w:tabs>
                <w:tab w:val="left" w:pos="1603"/>
              </w:tabs>
              <w:spacing w:before="0" w:after="0"/>
              <w:jc w:val="center"/>
              <w:rPr>
                <w:rFonts w:cs="Arial"/>
                <w:szCs w:val="18"/>
              </w:rPr>
            </w:pPr>
            <w:r w:rsidRPr="003671F7">
              <w:rPr>
                <w:rFonts w:cs="Arial"/>
                <w:szCs w:val="18"/>
              </w:rPr>
              <w:t>53,49</w:t>
            </w:r>
          </w:p>
        </w:tc>
      </w:tr>
    </w:tbl>
    <w:p w14:paraId="76B97276" w14:textId="534898A0" w:rsidR="00CE7573" w:rsidRPr="00CE7573" w:rsidRDefault="00CE7573" w:rsidP="00CE7573">
      <w:pPr>
        <w:rPr>
          <w:noProof/>
          <w:szCs w:val="18"/>
        </w:rPr>
      </w:pPr>
      <w:r w:rsidRPr="00CE7573">
        <w:rPr>
          <w:noProof/>
          <w:szCs w:val="18"/>
        </w:rPr>
        <w:t xml:space="preserve">La </w:t>
      </w:r>
      <w:r w:rsidRPr="00CE7573">
        <w:rPr>
          <w:noProof/>
          <w:szCs w:val="18"/>
        </w:rPr>
        <w:fldChar w:fldCharType="begin"/>
      </w:r>
      <w:r w:rsidRPr="00CE7573">
        <w:rPr>
          <w:noProof/>
          <w:szCs w:val="18"/>
        </w:rPr>
        <w:instrText xml:space="preserve"> REF _Ref102130899 \h  \* MERGEFORMAT </w:instrText>
      </w:r>
      <w:r w:rsidRPr="00CE7573">
        <w:rPr>
          <w:noProof/>
          <w:szCs w:val="18"/>
        </w:rPr>
      </w:r>
      <w:r w:rsidRPr="00CE7573">
        <w:rPr>
          <w:noProof/>
          <w:szCs w:val="18"/>
        </w:rPr>
        <w:fldChar w:fldCharType="separate"/>
      </w:r>
      <w:r w:rsidR="0091047C" w:rsidRPr="0091047C">
        <w:rPr>
          <w:noProof/>
          <w:szCs w:val="18"/>
        </w:rPr>
        <w:t>Figura 5</w:t>
      </w:r>
      <w:r w:rsidRPr="00CE7573">
        <w:rPr>
          <w:noProof/>
          <w:szCs w:val="18"/>
        </w:rPr>
        <w:fldChar w:fldCharType="end"/>
      </w:r>
      <w:r w:rsidRPr="00CE7573">
        <w:rPr>
          <w:noProof/>
          <w:szCs w:val="18"/>
        </w:rPr>
        <w:t xml:space="preserve"> muestra las curvas obtenidas en el ensayo del cono calorimétrico para las formulaciones seleccionadas de composite ignífugo. La </w:t>
      </w:r>
      <w:r w:rsidRPr="00CE7573">
        <w:rPr>
          <w:noProof/>
          <w:szCs w:val="18"/>
        </w:rPr>
        <w:fldChar w:fldCharType="begin"/>
      </w:r>
      <w:r w:rsidRPr="00CE7573">
        <w:rPr>
          <w:noProof/>
          <w:szCs w:val="18"/>
        </w:rPr>
        <w:instrText xml:space="preserve"> REF _Ref102130899 \h  \* MERGEFORMAT </w:instrText>
      </w:r>
      <w:r w:rsidRPr="00CE7573">
        <w:rPr>
          <w:noProof/>
          <w:szCs w:val="18"/>
        </w:rPr>
      </w:r>
      <w:r w:rsidRPr="00CE7573">
        <w:rPr>
          <w:noProof/>
          <w:szCs w:val="18"/>
        </w:rPr>
        <w:fldChar w:fldCharType="separate"/>
      </w:r>
      <w:r w:rsidR="0091047C" w:rsidRPr="0091047C">
        <w:rPr>
          <w:noProof/>
          <w:szCs w:val="18"/>
        </w:rPr>
        <w:t>Figura 5</w:t>
      </w:r>
      <w:r w:rsidRPr="00CE7573">
        <w:rPr>
          <w:noProof/>
          <w:szCs w:val="18"/>
        </w:rPr>
        <w:fldChar w:fldCharType="end"/>
      </w:r>
      <w:r w:rsidRPr="00CE7573">
        <w:rPr>
          <w:noProof/>
          <w:szCs w:val="18"/>
        </w:rPr>
        <w:t xml:space="preserve"> a) representa la tasa de liberación de calor (HRR), que es la velocidad a la que el fuego libera energía, donde en este caso se observa un comportamiento típico de descomposición por etapas (picos) debido a las diferentes capas del laminado de composite. La </w:t>
      </w:r>
      <w:r w:rsidRPr="00CE7573">
        <w:rPr>
          <w:noProof/>
          <w:szCs w:val="18"/>
        </w:rPr>
        <w:fldChar w:fldCharType="begin"/>
      </w:r>
      <w:r w:rsidRPr="00CE7573">
        <w:rPr>
          <w:noProof/>
          <w:szCs w:val="18"/>
        </w:rPr>
        <w:instrText xml:space="preserve"> REF _Ref102130899 \h  \* MERGEFORMAT </w:instrText>
      </w:r>
      <w:r w:rsidRPr="00CE7573">
        <w:rPr>
          <w:noProof/>
          <w:szCs w:val="18"/>
        </w:rPr>
      </w:r>
      <w:r w:rsidRPr="00CE7573">
        <w:rPr>
          <w:noProof/>
          <w:szCs w:val="18"/>
        </w:rPr>
        <w:fldChar w:fldCharType="separate"/>
      </w:r>
      <w:r w:rsidR="0091047C" w:rsidRPr="0091047C">
        <w:rPr>
          <w:noProof/>
          <w:szCs w:val="18"/>
        </w:rPr>
        <w:t>Figura 5</w:t>
      </w:r>
      <w:r w:rsidRPr="00CE7573">
        <w:rPr>
          <w:noProof/>
          <w:szCs w:val="18"/>
        </w:rPr>
        <w:fldChar w:fldCharType="end"/>
      </w:r>
      <w:r w:rsidRPr="00CE7573">
        <w:rPr>
          <w:noProof/>
          <w:szCs w:val="18"/>
        </w:rPr>
        <w:t xml:space="preserve"> b) representa la tasa de emisión de calor (ARHE), donde se observa cómo ambos composites ignífugos tienen un pico máximo (MARHE) menor del 90 kW/m2 (requisito mínimo a cumplir en sector ferroviario).</w:t>
      </w:r>
    </w:p>
    <w:p w14:paraId="65C00BA1" w14:textId="58529B1E" w:rsidR="00CE7573" w:rsidRDefault="00CE7573" w:rsidP="00CE7573">
      <w:r w:rsidRPr="00D0799A">
        <w:rPr>
          <w:noProof/>
        </w:rPr>
        <w:drawing>
          <wp:inline distT="0" distB="0" distL="0" distR="0" wp14:anchorId="7EE26B9C" wp14:editId="3FEBE8E6">
            <wp:extent cx="3194685" cy="999270"/>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4685" cy="999270"/>
                    </a:xfrm>
                    <a:prstGeom prst="rect">
                      <a:avLst/>
                    </a:prstGeom>
                    <a:noFill/>
                    <a:ln>
                      <a:noFill/>
                    </a:ln>
                  </pic:spPr>
                </pic:pic>
              </a:graphicData>
            </a:graphic>
          </wp:inline>
        </w:drawing>
      </w:r>
    </w:p>
    <w:p w14:paraId="670E86B7" w14:textId="0A51CC5A" w:rsidR="00CE7573" w:rsidRPr="00CE7573" w:rsidRDefault="00CE7573" w:rsidP="00CE7573">
      <w:pPr>
        <w:pStyle w:val="Descripcin"/>
        <w:spacing w:after="0"/>
        <w:rPr>
          <w:b w:val="0"/>
          <w:bCs w:val="0"/>
          <w:color w:val="auto"/>
          <w:sz w:val="16"/>
          <w:szCs w:val="16"/>
        </w:rPr>
      </w:pPr>
      <w:bookmarkStart w:id="6" w:name="_Ref102130899"/>
      <w:r w:rsidRPr="00CE7573">
        <w:rPr>
          <w:bCs w:val="0"/>
          <w:noProof/>
          <w:color w:val="auto"/>
          <w:sz w:val="16"/>
          <w:szCs w:val="16"/>
        </w:rPr>
        <w:t xml:space="preserve">Figura </w:t>
      </w:r>
      <w:r w:rsidRPr="00CE7573">
        <w:rPr>
          <w:bCs w:val="0"/>
          <w:noProof/>
          <w:color w:val="auto"/>
          <w:sz w:val="16"/>
          <w:szCs w:val="16"/>
        </w:rPr>
        <w:fldChar w:fldCharType="begin"/>
      </w:r>
      <w:r w:rsidRPr="00CE7573">
        <w:rPr>
          <w:bCs w:val="0"/>
          <w:noProof/>
          <w:color w:val="auto"/>
          <w:sz w:val="16"/>
          <w:szCs w:val="16"/>
        </w:rPr>
        <w:instrText xml:space="preserve"> SEQ Figura \* ARABIC </w:instrText>
      </w:r>
      <w:r w:rsidRPr="00CE7573">
        <w:rPr>
          <w:bCs w:val="0"/>
          <w:noProof/>
          <w:color w:val="auto"/>
          <w:sz w:val="16"/>
          <w:szCs w:val="16"/>
        </w:rPr>
        <w:fldChar w:fldCharType="separate"/>
      </w:r>
      <w:r w:rsidR="0091047C">
        <w:rPr>
          <w:bCs w:val="0"/>
          <w:noProof/>
          <w:color w:val="auto"/>
          <w:sz w:val="16"/>
          <w:szCs w:val="16"/>
        </w:rPr>
        <w:t>5</w:t>
      </w:r>
      <w:r w:rsidRPr="00CE7573">
        <w:rPr>
          <w:bCs w:val="0"/>
          <w:noProof/>
          <w:color w:val="auto"/>
          <w:sz w:val="16"/>
          <w:szCs w:val="16"/>
        </w:rPr>
        <w:fldChar w:fldCharType="end"/>
      </w:r>
      <w:bookmarkEnd w:id="6"/>
      <w:r w:rsidRPr="00D0799A">
        <w:rPr>
          <w:sz w:val="16"/>
          <w:szCs w:val="16"/>
        </w:rPr>
        <w:t xml:space="preserve"> </w:t>
      </w:r>
      <w:r w:rsidRPr="00CE7573">
        <w:rPr>
          <w:b w:val="0"/>
          <w:bCs w:val="0"/>
          <w:color w:val="auto"/>
          <w:sz w:val="16"/>
          <w:szCs w:val="16"/>
        </w:rPr>
        <w:t>Curvas a) HRR (</w:t>
      </w:r>
      <w:proofErr w:type="spellStart"/>
      <w:r w:rsidRPr="00CE7573">
        <w:rPr>
          <w:b w:val="0"/>
          <w:bCs w:val="0"/>
          <w:color w:val="auto"/>
          <w:sz w:val="16"/>
          <w:szCs w:val="16"/>
        </w:rPr>
        <w:t>heat</w:t>
      </w:r>
      <w:proofErr w:type="spellEnd"/>
      <w:r w:rsidRPr="00CE7573">
        <w:rPr>
          <w:b w:val="0"/>
          <w:bCs w:val="0"/>
          <w:color w:val="auto"/>
          <w:sz w:val="16"/>
          <w:szCs w:val="16"/>
        </w:rPr>
        <w:t xml:space="preserve"> </w:t>
      </w:r>
      <w:proofErr w:type="spellStart"/>
      <w:r w:rsidRPr="00CE7573">
        <w:rPr>
          <w:b w:val="0"/>
          <w:bCs w:val="0"/>
          <w:color w:val="auto"/>
          <w:sz w:val="16"/>
          <w:szCs w:val="16"/>
        </w:rPr>
        <w:t>release</w:t>
      </w:r>
      <w:proofErr w:type="spellEnd"/>
      <w:r w:rsidRPr="00CE7573">
        <w:rPr>
          <w:b w:val="0"/>
          <w:bCs w:val="0"/>
          <w:color w:val="auto"/>
          <w:sz w:val="16"/>
          <w:szCs w:val="16"/>
        </w:rPr>
        <w:t xml:space="preserve"> </w:t>
      </w:r>
      <w:proofErr w:type="spellStart"/>
      <w:r w:rsidRPr="00CE7573">
        <w:rPr>
          <w:b w:val="0"/>
          <w:bCs w:val="0"/>
          <w:color w:val="auto"/>
          <w:sz w:val="16"/>
          <w:szCs w:val="16"/>
        </w:rPr>
        <w:t>rate</w:t>
      </w:r>
      <w:proofErr w:type="spellEnd"/>
      <w:r w:rsidRPr="00CE7573">
        <w:rPr>
          <w:b w:val="0"/>
          <w:bCs w:val="0"/>
          <w:color w:val="auto"/>
          <w:sz w:val="16"/>
          <w:szCs w:val="16"/>
        </w:rPr>
        <w:t>) y b) ARHE (</w:t>
      </w:r>
      <w:proofErr w:type="spellStart"/>
      <w:r w:rsidRPr="00CE7573">
        <w:rPr>
          <w:b w:val="0"/>
          <w:bCs w:val="0"/>
          <w:color w:val="auto"/>
          <w:sz w:val="16"/>
          <w:szCs w:val="16"/>
        </w:rPr>
        <w:t>averarage</w:t>
      </w:r>
      <w:proofErr w:type="spellEnd"/>
      <w:r w:rsidRPr="00CE7573">
        <w:rPr>
          <w:b w:val="0"/>
          <w:bCs w:val="0"/>
          <w:color w:val="auto"/>
          <w:sz w:val="16"/>
          <w:szCs w:val="16"/>
        </w:rPr>
        <w:t xml:space="preserve"> </w:t>
      </w:r>
      <w:proofErr w:type="spellStart"/>
      <w:r w:rsidRPr="00CE7573">
        <w:rPr>
          <w:b w:val="0"/>
          <w:bCs w:val="0"/>
          <w:color w:val="auto"/>
          <w:sz w:val="16"/>
          <w:szCs w:val="16"/>
        </w:rPr>
        <w:t>rate</w:t>
      </w:r>
      <w:proofErr w:type="spellEnd"/>
      <w:r w:rsidRPr="00CE7573">
        <w:rPr>
          <w:b w:val="0"/>
          <w:bCs w:val="0"/>
          <w:color w:val="auto"/>
          <w:sz w:val="16"/>
          <w:szCs w:val="16"/>
        </w:rPr>
        <w:t xml:space="preserve"> of </w:t>
      </w:r>
      <w:proofErr w:type="spellStart"/>
      <w:r w:rsidRPr="00CE7573">
        <w:rPr>
          <w:b w:val="0"/>
          <w:bCs w:val="0"/>
          <w:color w:val="auto"/>
          <w:sz w:val="16"/>
          <w:szCs w:val="16"/>
        </w:rPr>
        <w:t>emission</w:t>
      </w:r>
      <w:proofErr w:type="spellEnd"/>
      <w:r w:rsidRPr="00CE7573">
        <w:rPr>
          <w:b w:val="0"/>
          <w:bCs w:val="0"/>
          <w:color w:val="auto"/>
          <w:sz w:val="16"/>
          <w:szCs w:val="16"/>
        </w:rPr>
        <w:t>) para las muestras de composite ignífugo estudiadas.</w:t>
      </w:r>
    </w:p>
    <w:p w14:paraId="14C08B57" w14:textId="3DC852D6" w:rsidR="00CE7573" w:rsidRPr="007318A9" w:rsidRDefault="00CE7573" w:rsidP="00CE7573">
      <w:pPr>
        <w:pStyle w:val="Descripcin"/>
        <w:spacing w:before="120" w:after="0"/>
        <w:rPr>
          <w:color w:val="000000"/>
          <w:sz w:val="16"/>
          <w:szCs w:val="16"/>
        </w:rPr>
      </w:pPr>
      <w:r w:rsidRPr="00896615">
        <w:rPr>
          <w:bCs w:val="0"/>
          <w:noProof/>
          <w:color w:val="auto"/>
          <w:sz w:val="16"/>
          <w:szCs w:val="16"/>
        </w:rPr>
        <w:t xml:space="preserve">Tabla </w:t>
      </w:r>
      <w:r w:rsidRPr="00896615">
        <w:rPr>
          <w:bCs w:val="0"/>
          <w:noProof/>
          <w:color w:val="auto"/>
          <w:sz w:val="16"/>
          <w:szCs w:val="16"/>
        </w:rPr>
        <w:fldChar w:fldCharType="begin"/>
      </w:r>
      <w:r w:rsidRPr="00896615">
        <w:rPr>
          <w:bCs w:val="0"/>
          <w:noProof/>
          <w:color w:val="auto"/>
          <w:sz w:val="16"/>
          <w:szCs w:val="16"/>
        </w:rPr>
        <w:instrText xml:space="preserve"> SEQ Tabla \* ARABIC </w:instrText>
      </w:r>
      <w:r w:rsidRPr="00896615">
        <w:rPr>
          <w:bCs w:val="0"/>
          <w:noProof/>
          <w:color w:val="auto"/>
          <w:sz w:val="16"/>
          <w:szCs w:val="16"/>
        </w:rPr>
        <w:fldChar w:fldCharType="separate"/>
      </w:r>
      <w:r w:rsidR="0091047C">
        <w:rPr>
          <w:bCs w:val="0"/>
          <w:noProof/>
          <w:color w:val="auto"/>
          <w:sz w:val="16"/>
          <w:szCs w:val="16"/>
        </w:rPr>
        <w:t>3</w:t>
      </w:r>
      <w:r w:rsidRPr="00896615">
        <w:rPr>
          <w:bCs w:val="0"/>
          <w:noProof/>
          <w:color w:val="auto"/>
          <w:sz w:val="16"/>
          <w:szCs w:val="16"/>
        </w:rPr>
        <w:fldChar w:fldCharType="end"/>
      </w:r>
      <w:r w:rsidRPr="007318A9">
        <w:rPr>
          <w:sz w:val="16"/>
          <w:szCs w:val="16"/>
        </w:rPr>
        <w:t xml:space="preserve"> </w:t>
      </w:r>
      <w:r w:rsidRPr="00896615">
        <w:rPr>
          <w:b w:val="0"/>
          <w:bCs w:val="0"/>
          <w:color w:val="auto"/>
          <w:sz w:val="16"/>
          <w:szCs w:val="16"/>
        </w:rPr>
        <w:t>Resultados extraídos de las curvas HRR y ARHE cono calorimétrico para los composites ignífugos de estudio.</w:t>
      </w:r>
    </w:p>
    <w:p w14:paraId="7415A663" w14:textId="3AA690A7" w:rsidR="00CE7573" w:rsidRDefault="00896615" w:rsidP="00CE7573">
      <w:r w:rsidRPr="00896615">
        <w:rPr>
          <w:noProof/>
        </w:rPr>
        <w:drawing>
          <wp:inline distT="0" distB="0" distL="0" distR="0" wp14:anchorId="42F70986" wp14:editId="459B8969">
            <wp:extent cx="3194685" cy="445770"/>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4685" cy="445770"/>
                    </a:xfrm>
                    <a:prstGeom prst="rect">
                      <a:avLst/>
                    </a:prstGeom>
                    <a:noFill/>
                    <a:ln>
                      <a:noFill/>
                    </a:ln>
                  </pic:spPr>
                </pic:pic>
              </a:graphicData>
            </a:graphic>
          </wp:inline>
        </w:drawing>
      </w:r>
    </w:p>
    <w:p w14:paraId="32FA2168" w14:textId="77777777" w:rsidR="00896615" w:rsidRPr="00896615" w:rsidRDefault="00896615" w:rsidP="00896615">
      <w:pPr>
        <w:rPr>
          <w:noProof/>
          <w:szCs w:val="18"/>
        </w:rPr>
      </w:pPr>
      <w:r w:rsidRPr="00896615">
        <w:rPr>
          <w:noProof/>
          <w:szCs w:val="18"/>
        </w:rPr>
        <w:t>Ambos composites ignífugos cumplen con los requisitos ferroviarios, debido a sus mayores tiempos de ignición y MARHEs por debajo de 90 kW/m2, siendo el composite fabricado a partir de la formulación Apyral20_60% apto para ser utilizado en el tren de largo recorrido (HL2), y el composite con la formulación Apyral20_70% apto para su uso en metros y coches cama (HL3).</w:t>
      </w:r>
    </w:p>
    <w:p w14:paraId="6C2A3CF2" w14:textId="77777777" w:rsidR="00896615" w:rsidRPr="002B57A3" w:rsidRDefault="00896615" w:rsidP="00896615">
      <w:pPr>
        <w:pStyle w:val="Ttulo2"/>
      </w:pPr>
      <w:proofErr w:type="spellStart"/>
      <w:r w:rsidRPr="002B57A3">
        <w:t>Propiedades</w:t>
      </w:r>
      <w:proofErr w:type="spellEnd"/>
      <w:r w:rsidRPr="002B57A3">
        <w:t xml:space="preserve"> </w:t>
      </w:r>
      <w:proofErr w:type="spellStart"/>
      <w:r w:rsidRPr="002B57A3">
        <w:t>Mecánicas</w:t>
      </w:r>
      <w:proofErr w:type="spellEnd"/>
      <w:r w:rsidRPr="002B57A3">
        <w:t xml:space="preserve"> Composites </w:t>
      </w:r>
      <w:proofErr w:type="spellStart"/>
      <w:r w:rsidRPr="002B57A3">
        <w:t>ignífugos</w:t>
      </w:r>
      <w:proofErr w:type="spellEnd"/>
    </w:p>
    <w:p w14:paraId="2B0B6A74" w14:textId="77777777" w:rsidR="0091047C" w:rsidRPr="0091047C" w:rsidRDefault="00896615" w:rsidP="0091047C">
      <w:pPr>
        <w:rPr>
          <w:noProof/>
          <w:sz w:val="16"/>
          <w:szCs w:val="16"/>
        </w:rPr>
      </w:pPr>
      <w:r w:rsidRPr="00896615">
        <w:rPr>
          <w:noProof/>
          <w:szCs w:val="18"/>
        </w:rPr>
        <w:t>Los resultados obtenidos del ensayo de flexión y corte interlaminar (ILSS) de los composites, así como el contenido en fibra y de aditivo ignífugo, se muestran en la</w:t>
      </w:r>
      <w:r w:rsidR="00E5344E">
        <w:rPr>
          <w:noProof/>
          <w:szCs w:val="18"/>
        </w:rPr>
        <w:t xml:space="preserve"> </w:t>
      </w:r>
      <w:r w:rsidRPr="00896615">
        <w:rPr>
          <w:noProof/>
          <w:szCs w:val="18"/>
        </w:rPr>
        <w:fldChar w:fldCharType="begin"/>
      </w:r>
      <w:r w:rsidRPr="00896615">
        <w:rPr>
          <w:noProof/>
          <w:szCs w:val="18"/>
        </w:rPr>
        <w:instrText xml:space="preserve"> REF _Ref102141198 \h  \* MERGEFORMAT </w:instrText>
      </w:r>
      <w:r w:rsidRPr="00896615">
        <w:rPr>
          <w:noProof/>
          <w:szCs w:val="18"/>
        </w:rPr>
      </w:r>
      <w:r w:rsidRPr="00896615">
        <w:rPr>
          <w:noProof/>
          <w:szCs w:val="18"/>
        </w:rPr>
        <w:fldChar w:fldCharType="separate"/>
      </w:r>
      <w:r w:rsidR="0091047C" w:rsidRPr="0091047C">
        <w:rPr>
          <w:noProof/>
          <w:szCs w:val="18"/>
        </w:rPr>
        <w:br w:type="page"/>
      </w:r>
    </w:p>
    <w:p w14:paraId="7B9BFF1C" w14:textId="0C802899" w:rsidR="00896615" w:rsidRPr="00896615" w:rsidRDefault="0091047C" w:rsidP="00896615">
      <w:pPr>
        <w:rPr>
          <w:noProof/>
          <w:szCs w:val="18"/>
        </w:rPr>
      </w:pPr>
      <w:r w:rsidRPr="0091047C">
        <w:rPr>
          <w:bCs/>
          <w:noProof/>
          <w:sz w:val="16"/>
          <w:szCs w:val="16"/>
        </w:rPr>
        <w:lastRenderedPageBreak/>
        <w:t>Tabla</w:t>
      </w:r>
      <w:r w:rsidRPr="00896615">
        <w:rPr>
          <w:noProof/>
          <w:sz w:val="16"/>
          <w:szCs w:val="16"/>
        </w:rPr>
        <w:t xml:space="preserve"> </w:t>
      </w:r>
      <w:r>
        <w:rPr>
          <w:bCs/>
          <w:noProof/>
          <w:sz w:val="16"/>
          <w:szCs w:val="16"/>
        </w:rPr>
        <w:t>4</w:t>
      </w:r>
      <w:r w:rsidR="00896615" w:rsidRPr="00896615">
        <w:rPr>
          <w:noProof/>
          <w:szCs w:val="18"/>
        </w:rPr>
        <w:fldChar w:fldCharType="end"/>
      </w:r>
      <w:r w:rsidR="00896615" w:rsidRPr="00896615">
        <w:rPr>
          <w:noProof/>
          <w:szCs w:val="18"/>
        </w:rPr>
        <w:t xml:space="preserve"> y </w:t>
      </w:r>
      <w:r w:rsidR="00896615" w:rsidRPr="00896615">
        <w:rPr>
          <w:noProof/>
          <w:szCs w:val="18"/>
        </w:rPr>
        <w:fldChar w:fldCharType="begin"/>
      </w:r>
      <w:r w:rsidR="00896615" w:rsidRPr="00896615">
        <w:rPr>
          <w:noProof/>
          <w:szCs w:val="18"/>
        </w:rPr>
        <w:instrText xml:space="preserve"> REF _Ref102143524 \h  \* MERGEFORMAT </w:instrText>
      </w:r>
      <w:r w:rsidR="00896615" w:rsidRPr="00896615">
        <w:rPr>
          <w:noProof/>
          <w:szCs w:val="18"/>
        </w:rPr>
      </w:r>
      <w:r w:rsidR="00896615" w:rsidRPr="00896615">
        <w:rPr>
          <w:noProof/>
          <w:szCs w:val="18"/>
        </w:rPr>
        <w:fldChar w:fldCharType="separate"/>
      </w:r>
      <w:r w:rsidRPr="0091047C">
        <w:rPr>
          <w:noProof/>
          <w:szCs w:val="18"/>
        </w:rPr>
        <w:t>Figura 6</w:t>
      </w:r>
      <w:r w:rsidR="00896615" w:rsidRPr="00896615">
        <w:rPr>
          <w:noProof/>
          <w:szCs w:val="18"/>
        </w:rPr>
        <w:fldChar w:fldCharType="end"/>
      </w:r>
      <w:r w:rsidR="00896615" w:rsidRPr="00896615">
        <w:rPr>
          <w:noProof/>
          <w:szCs w:val="18"/>
        </w:rPr>
        <w:t xml:space="preserve">. El composite Comp_0 no está aditivado y fue considerado como referencia, ya que los composites fabricados se basan en una formulación específica de resina de curado UV utilizada en la fabricación automatizada de prepregs de curado UV en IDEKO </w:t>
      </w:r>
      <w:r w:rsidR="00896615" w:rsidRPr="00896615">
        <w:rPr>
          <w:noProof/>
          <w:szCs w:val="18"/>
        </w:rPr>
        <w:fldChar w:fldCharType="begin"/>
      </w:r>
      <w:r w:rsidR="00896615" w:rsidRPr="00896615">
        <w:rPr>
          <w:noProof/>
          <w:szCs w:val="18"/>
        </w:rPr>
        <w:instrText xml:space="preserve"> ADDIN ZOTERO_ITEM CSL_CITATION {"citationID":"9VB39aMm","properties":{"formattedCitation":"[5]","plainCitation":"[5]","noteIndex":0},"citationItems":[{"id":78,"uris":["http://zotero.org/users/1495681/items/SF7Y882P"],"itemData":{"id":78,"type":"article-journal","abstract":"A new process for the impregnation, consolidation, and curing of glass-fibre-reinforced polyester composites was developed to reduce manufacturing costs and secure end properties that compete with other traditional materials. This new process, based on the ultraviolet (UV) curing of prepregs, could be a viable alternative to infusion and other processes. In this paper, we showed that glass fibre composites 3 mm thick could be easily formed using suitable photoinitiating systems. We achieved improved mechanical properties through the application of favourable parameters to traditional manufacturing processes such as hand lay-up and infusion. The prepreg polymerization was monitored by dielectric analysis (DEA), and we evaluated the relationship between the UV radiation exposure time and curing degree. Both the exposure time and compaction pressure affected the fibre content of composites and interlaminar shear strength. Experimental results showed that compaction pressures higher than 4 bar are necessary to increase the mechanical properties of the UV-cured composites. Finally, the properties of the composites manufactured by this new process were compared to the properties of composites manufactured using traditional processes such as hand lay-up and infusion.","container-title":"Journal of Composites Science","DOI":"10.3390/jcs4010030","issue":"1","language":"en","note":"number: 1\npublisher: Multidisciplinary Digital Publishing Institute","page":"30","source":"www.mdpi.com","title":"Influence of the Fibre Content, Exposure Time, and Compaction Pressure on the Mechanical Properties of Ultraviolet-Cured Composites","URL":"https://www.mdpi.com/2504-477X/4/1/30","volume":"4","author":[{"family":"G. Pérez-de-Eulate","given":"Natalia"},{"family":"Iztueta","given":"Ane Aranburu"},{"family":"Gondra","given":"Koldo"},{"family":"Vallejo","given":"Francisco Javier"}],"accessed":{"date-parts":[["2020",4,1]]},"issued":{"date-parts":[["2020",3]]}}}],"schema":"https://github.com/citation-style-language/schema/raw/master/csl-citation.json"} </w:instrText>
      </w:r>
      <w:r w:rsidR="00896615" w:rsidRPr="00896615">
        <w:rPr>
          <w:noProof/>
          <w:szCs w:val="18"/>
        </w:rPr>
        <w:fldChar w:fldCharType="separate"/>
      </w:r>
      <w:r w:rsidR="00896615" w:rsidRPr="00896615">
        <w:rPr>
          <w:noProof/>
          <w:szCs w:val="18"/>
        </w:rPr>
        <w:t>[5]</w:t>
      </w:r>
      <w:r w:rsidR="00896615" w:rsidRPr="00896615">
        <w:rPr>
          <w:noProof/>
          <w:szCs w:val="18"/>
        </w:rPr>
        <w:fldChar w:fldCharType="end"/>
      </w:r>
      <w:r w:rsidR="00896615" w:rsidRPr="00896615">
        <w:rPr>
          <w:noProof/>
          <w:szCs w:val="18"/>
        </w:rPr>
        <w:t>.</w:t>
      </w:r>
    </w:p>
    <w:p w14:paraId="5E3F8F2E" w14:textId="77777777" w:rsidR="003671F7" w:rsidRDefault="003671F7">
      <w:pPr>
        <w:spacing w:before="0" w:after="160"/>
        <w:jc w:val="left"/>
        <w:rPr>
          <w:b/>
          <w:noProof/>
          <w:sz w:val="16"/>
          <w:szCs w:val="16"/>
        </w:rPr>
      </w:pPr>
      <w:bookmarkStart w:id="7" w:name="_Ref102141198"/>
      <w:r>
        <w:rPr>
          <w:bCs/>
          <w:noProof/>
          <w:sz w:val="16"/>
          <w:szCs w:val="16"/>
        </w:rPr>
        <w:br w:type="page"/>
      </w:r>
    </w:p>
    <w:p w14:paraId="52FC80F5" w14:textId="2EC0A428" w:rsidR="00896615" w:rsidRPr="00896615" w:rsidRDefault="00896615" w:rsidP="00896615">
      <w:pPr>
        <w:pStyle w:val="Descripcin"/>
        <w:spacing w:after="0"/>
        <w:rPr>
          <w:b w:val="0"/>
          <w:bCs w:val="0"/>
          <w:color w:val="auto"/>
          <w:sz w:val="16"/>
          <w:szCs w:val="16"/>
        </w:rPr>
      </w:pPr>
      <w:r w:rsidRPr="00896615">
        <w:rPr>
          <w:bCs w:val="0"/>
          <w:noProof/>
          <w:color w:val="auto"/>
          <w:sz w:val="16"/>
          <w:szCs w:val="16"/>
        </w:rPr>
        <w:lastRenderedPageBreak/>
        <w:t xml:space="preserve">Tabla </w:t>
      </w:r>
      <w:r w:rsidRPr="00896615">
        <w:rPr>
          <w:bCs w:val="0"/>
          <w:noProof/>
          <w:color w:val="auto"/>
          <w:sz w:val="16"/>
          <w:szCs w:val="16"/>
        </w:rPr>
        <w:fldChar w:fldCharType="begin"/>
      </w:r>
      <w:r w:rsidRPr="00896615">
        <w:rPr>
          <w:bCs w:val="0"/>
          <w:noProof/>
          <w:color w:val="auto"/>
          <w:sz w:val="16"/>
          <w:szCs w:val="16"/>
        </w:rPr>
        <w:instrText xml:space="preserve"> SEQ Tabla \* ARABIC </w:instrText>
      </w:r>
      <w:r w:rsidRPr="00896615">
        <w:rPr>
          <w:bCs w:val="0"/>
          <w:noProof/>
          <w:color w:val="auto"/>
          <w:sz w:val="16"/>
          <w:szCs w:val="16"/>
        </w:rPr>
        <w:fldChar w:fldCharType="separate"/>
      </w:r>
      <w:r w:rsidR="0091047C">
        <w:rPr>
          <w:bCs w:val="0"/>
          <w:noProof/>
          <w:color w:val="auto"/>
          <w:sz w:val="16"/>
          <w:szCs w:val="16"/>
        </w:rPr>
        <w:t>4</w:t>
      </w:r>
      <w:r w:rsidRPr="00896615">
        <w:rPr>
          <w:bCs w:val="0"/>
          <w:noProof/>
          <w:color w:val="auto"/>
          <w:sz w:val="16"/>
          <w:szCs w:val="16"/>
        </w:rPr>
        <w:fldChar w:fldCharType="end"/>
      </w:r>
      <w:bookmarkEnd w:id="7"/>
      <w:r w:rsidRPr="00AC1D5B">
        <w:rPr>
          <w:sz w:val="16"/>
          <w:szCs w:val="16"/>
        </w:rPr>
        <w:t xml:space="preserve"> </w:t>
      </w:r>
      <w:r w:rsidRPr="00896615">
        <w:rPr>
          <w:b w:val="0"/>
          <w:bCs w:val="0"/>
          <w:color w:val="auto"/>
          <w:sz w:val="16"/>
          <w:szCs w:val="16"/>
        </w:rPr>
        <w:t>Propiedades mecánicas de las diferentes formulaciones de composites.</w:t>
      </w:r>
    </w:p>
    <w:p w14:paraId="23081B4E" w14:textId="63B4BCD3" w:rsidR="00896615" w:rsidRDefault="00896615" w:rsidP="003671F7">
      <w:pPr>
        <w:spacing w:before="0" w:line="240" w:lineRule="auto"/>
      </w:pPr>
      <w:r w:rsidRPr="00896615">
        <w:rPr>
          <w:noProof/>
        </w:rPr>
        <w:drawing>
          <wp:inline distT="0" distB="0" distL="0" distR="0" wp14:anchorId="0EC75C5D" wp14:editId="57E2D0DA">
            <wp:extent cx="3420000" cy="825260"/>
            <wp:effectExtent l="0" t="0" r="0" b="0"/>
            <wp:docPr id="9" name="Imagen 8">
              <a:extLst xmlns:a="http://schemas.openxmlformats.org/drawingml/2006/main">
                <a:ext uri="{FF2B5EF4-FFF2-40B4-BE49-F238E27FC236}">
                  <a16:creationId xmlns:a16="http://schemas.microsoft.com/office/drawing/2014/main" id="{2C616235-2C51-4860-9617-D7F4265345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2C616235-2C51-4860-9617-D7F42653455E}"/>
                        </a:ext>
                      </a:extLst>
                    </pic:cNvPr>
                    <pic:cNvPicPr>
                      <a:picLocks noChangeAspect="1"/>
                    </pic:cNvPicPr>
                  </pic:nvPicPr>
                  <pic:blipFill>
                    <a:blip r:embed="rId19"/>
                    <a:stretch>
                      <a:fillRect/>
                    </a:stretch>
                  </pic:blipFill>
                  <pic:spPr>
                    <a:xfrm>
                      <a:off x="0" y="0"/>
                      <a:ext cx="3420000" cy="825260"/>
                    </a:xfrm>
                    <a:prstGeom prst="rect">
                      <a:avLst/>
                    </a:prstGeom>
                  </pic:spPr>
                </pic:pic>
              </a:graphicData>
            </a:graphic>
          </wp:inline>
        </w:drawing>
      </w:r>
    </w:p>
    <w:p w14:paraId="27BCD1D5" w14:textId="14AF2517" w:rsidR="004C78D2" w:rsidRDefault="004C78D2" w:rsidP="004C78D2">
      <w:pPr>
        <w:jc w:val="center"/>
      </w:pPr>
      <w:r w:rsidRPr="0068356D">
        <w:rPr>
          <w:noProof/>
        </w:rPr>
        <w:drawing>
          <wp:inline distT="0" distB="0" distL="0" distR="0" wp14:anchorId="640F40A4" wp14:editId="382FBFB3">
            <wp:extent cx="2484000" cy="149071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4000" cy="1490713"/>
                    </a:xfrm>
                    <a:prstGeom prst="rect">
                      <a:avLst/>
                    </a:prstGeom>
                    <a:noFill/>
                    <a:ln>
                      <a:noFill/>
                    </a:ln>
                  </pic:spPr>
                </pic:pic>
              </a:graphicData>
            </a:graphic>
          </wp:inline>
        </w:drawing>
      </w:r>
    </w:p>
    <w:p w14:paraId="1E2EAF1C" w14:textId="661CC318" w:rsidR="004C78D2" w:rsidRDefault="004C78D2" w:rsidP="004C78D2">
      <w:pPr>
        <w:jc w:val="center"/>
      </w:pPr>
      <w:r w:rsidRPr="0068356D">
        <w:rPr>
          <w:noProof/>
        </w:rPr>
        <w:drawing>
          <wp:inline distT="0" distB="0" distL="0" distR="0" wp14:anchorId="061AED20" wp14:editId="5207AA9B">
            <wp:extent cx="2484000" cy="149071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4000" cy="1490713"/>
                    </a:xfrm>
                    <a:prstGeom prst="rect">
                      <a:avLst/>
                    </a:prstGeom>
                    <a:noFill/>
                    <a:ln>
                      <a:noFill/>
                    </a:ln>
                  </pic:spPr>
                </pic:pic>
              </a:graphicData>
            </a:graphic>
          </wp:inline>
        </w:drawing>
      </w:r>
    </w:p>
    <w:p w14:paraId="2DDCE2EA" w14:textId="6F742846" w:rsidR="004C78D2" w:rsidRPr="004C78D2" w:rsidRDefault="004C78D2" w:rsidP="004C78D2">
      <w:pPr>
        <w:pStyle w:val="Descripcin"/>
        <w:spacing w:after="120"/>
        <w:rPr>
          <w:b w:val="0"/>
          <w:bCs w:val="0"/>
          <w:color w:val="auto"/>
          <w:sz w:val="16"/>
          <w:szCs w:val="16"/>
        </w:rPr>
      </w:pPr>
      <w:bookmarkStart w:id="8" w:name="_Ref102143524"/>
      <w:r w:rsidRPr="004C78D2">
        <w:rPr>
          <w:bCs w:val="0"/>
          <w:noProof/>
          <w:color w:val="auto"/>
          <w:sz w:val="16"/>
          <w:szCs w:val="16"/>
        </w:rPr>
        <w:t xml:space="preserve">Figura </w:t>
      </w:r>
      <w:r w:rsidRPr="004C78D2">
        <w:rPr>
          <w:bCs w:val="0"/>
          <w:noProof/>
          <w:color w:val="auto"/>
          <w:sz w:val="16"/>
          <w:szCs w:val="16"/>
        </w:rPr>
        <w:fldChar w:fldCharType="begin"/>
      </w:r>
      <w:r w:rsidRPr="004C78D2">
        <w:rPr>
          <w:bCs w:val="0"/>
          <w:noProof/>
          <w:color w:val="auto"/>
          <w:sz w:val="16"/>
          <w:szCs w:val="16"/>
        </w:rPr>
        <w:instrText xml:space="preserve"> SEQ Figura \* ARABIC </w:instrText>
      </w:r>
      <w:r w:rsidRPr="004C78D2">
        <w:rPr>
          <w:bCs w:val="0"/>
          <w:noProof/>
          <w:color w:val="auto"/>
          <w:sz w:val="16"/>
          <w:szCs w:val="16"/>
        </w:rPr>
        <w:fldChar w:fldCharType="separate"/>
      </w:r>
      <w:r w:rsidR="0091047C">
        <w:rPr>
          <w:bCs w:val="0"/>
          <w:noProof/>
          <w:color w:val="auto"/>
          <w:sz w:val="16"/>
          <w:szCs w:val="16"/>
        </w:rPr>
        <w:t>6</w:t>
      </w:r>
      <w:r w:rsidRPr="004C78D2">
        <w:rPr>
          <w:bCs w:val="0"/>
          <w:noProof/>
          <w:color w:val="auto"/>
          <w:sz w:val="16"/>
          <w:szCs w:val="16"/>
        </w:rPr>
        <w:fldChar w:fldCharType="end"/>
      </w:r>
      <w:bookmarkEnd w:id="8"/>
      <w:r w:rsidRPr="0068356D">
        <w:rPr>
          <w:sz w:val="16"/>
          <w:szCs w:val="16"/>
        </w:rPr>
        <w:t xml:space="preserve"> </w:t>
      </w:r>
      <w:r w:rsidRPr="004C78D2">
        <w:rPr>
          <w:b w:val="0"/>
          <w:bCs w:val="0"/>
          <w:color w:val="auto"/>
          <w:sz w:val="16"/>
          <w:szCs w:val="16"/>
        </w:rPr>
        <w:t>Arriba: Módulo y resistencia a la flexión. Abajo: Resistencia Interlaminar de composites sin ignifugar (Comp_0) e ignifugados con diferentes formulaciones ATH. Desviación estándar de 5 probetas por familia.</w:t>
      </w:r>
    </w:p>
    <w:p w14:paraId="458E0BF0" w14:textId="77777777" w:rsidR="004C78D2" w:rsidRPr="004C78D2" w:rsidRDefault="004C78D2" w:rsidP="004C78D2">
      <w:pPr>
        <w:rPr>
          <w:noProof/>
          <w:szCs w:val="18"/>
        </w:rPr>
      </w:pPr>
      <w:r w:rsidRPr="004C78D2">
        <w:rPr>
          <w:noProof/>
          <w:szCs w:val="18"/>
        </w:rPr>
        <w:t>Los resultados muestran como los composites ignifugados, en comparación con la referencia del composite sin ignifugar (Comp_0) son similares, con la excepción del contenido en fibra (FVF), donde Comp_0 presenta valores cercanos al 40%. A pesar de que los contenidos en fibra de los composites ignifugados son menores, entre el 30-25%, los módulos y la resistencia a la flexión muestran valores similares, debido a que las cargas inorgánicas (ATH) aportan rigidez al composite final. Con respecto a la resistencia interlaminar (ILSS), la menor presencia de resina en los composites ignifugados es la responsable de los menores valores mostrados. Un FVF menor favorece la resistencia interlaminar debido a la mejor adherencia interlaminar, la cual evita la delaminación prematura del composite.</w:t>
      </w:r>
    </w:p>
    <w:p w14:paraId="78755B2A" w14:textId="380046C2" w:rsidR="004C78D2" w:rsidRDefault="004C78D2" w:rsidP="004C78D2">
      <w:pPr>
        <w:pStyle w:val="Ttulo1"/>
      </w:pPr>
      <w:r>
        <w:t>Conclusiones</w:t>
      </w:r>
    </w:p>
    <w:p w14:paraId="5DA6F86C" w14:textId="77777777" w:rsidR="004C78D2" w:rsidRPr="004C78D2" w:rsidRDefault="004C78D2" w:rsidP="004C78D2">
      <w:pPr>
        <w:rPr>
          <w:noProof/>
          <w:szCs w:val="18"/>
        </w:rPr>
      </w:pPr>
      <w:r w:rsidRPr="004C78D2">
        <w:rPr>
          <w:noProof/>
          <w:szCs w:val="18"/>
        </w:rPr>
        <w:t>En la presente investigación se ha estudiado las propiedades frente al fuego de diferentes cargas ignífugas en base ATH en formulaciones con resina termoestable de curado UV y en composites, así como las propiedades mecánicas de los composites ignífugos fabricados. Del estudio realizado se pueden extraer las siguientes conclusiones:</w:t>
      </w:r>
    </w:p>
    <w:p w14:paraId="699527BD" w14:textId="77777777" w:rsidR="004C78D2" w:rsidRPr="004C78D2" w:rsidRDefault="004C78D2" w:rsidP="004C78D2">
      <w:pPr>
        <w:pStyle w:val="Prrafodelista"/>
        <w:numPr>
          <w:ilvl w:val="0"/>
          <w:numId w:val="24"/>
        </w:numPr>
        <w:spacing w:before="0" w:line="240" w:lineRule="auto"/>
        <w:ind w:left="714" w:hanging="357"/>
        <w:contextualSpacing w:val="0"/>
        <w:rPr>
          <w:noProof/>
          <w:szCs w:val="18"/>
        </w:rPr>
      </w:pPr>
      <w:r w:rsidRPr="004C78D2">
        <w:rPr>
          <w:noProof/>
          <w:szCs w:val="18"/>
        </w:rPr>
        <w:t>Los ensayos del cono calorimétrico de las diferentes formulaciones de ATH en resina UV, mostraron resultados similares frente al fuego.</w:t>
      </w:r>
    </w:p>
    <w:p w14:paraId="1A227C11" w14:textId="77777777" w:rsidR="004C78D2" w:rsidRPr="004C78D2" w:rsidRDefault="004C78D2" w:rsidP="004C78D2">
      <w:pPr>
        <w:pStyle w:val="Prrafodelista"/>
        <w:numPr>
          <w:ilvl w:val="0"/>
          <w:numId w:val="24"/>
        </w:numPr>
        <w:spacing w:before="0" w:line="240" w:lineRule="auto"/>
        <w:ind w:left="714" w:hanging="357"/>
        <w:contextualSpacing w:val="0"/>
        <w:rPr>
          <w:noProof/>
          <w:szCs w:val="18"/>
        </w:rPr>
      </w:pPr>
      <w:r w:rsidRPr="004C78D2">
        <w:rPr>
          <w:noProof/>
          <w:szCs w:val="18"/>
        </w:rPr>
        <w:t>El ignifugante denominado Apyral20X resultó tener un comportamiento invariable respecto al curado UV, independientemente de la cantidad de ATH en la formulación. Por lo tanto, los composites ignífugos se fabricaron en base a la formulación con Apyral20X, debido a la transparencia de sus cargas a la luz UV.</w:t>
      </w:r>
    </w:p>
    <w:p w14:paraId="37FE5C10" w14:textId="77777777" w:rsidR="004C78D2" w:rsidRPr="004C78D2" w:rsidRDefault="004C78D2" w:rsidP="004C78D2">
      <w:pPr>
        <w:pStyle w:val="Prrafodelista"/>
        <w:numPr>
          <w:ilvl w:val="0"/>
          <w:numId w:val="24"/>
        </w:numPr>
        <w:spacing w:before="0" w:line="240" w:lineRule="auto"/>
        <w:ind w:left="714" w:hanging="357"/>
        <w:contextualSpacing w:val="0"/>
        <w:rPr>
          <w:noProof/>
          <w:szCs w:val="18"/>
        </w:rPr>
      </w:pPr>
      <w:r w:rsidRPr="004C78D2">
        <w:rPr>
          <w:noProof/>
          <w:szCs w:val="18"/>
        </w:rPr>
        <w:t>Los resultados de los composites ignífugos con respecto al cono calorimétrico revelan su idoneidad a ser utilizados en el sector ferroviario. Específicamente, el composite denominado Comp_Apyral20_70%, alcanzaría la clasificación R1HL3 según la norma EN 45545-2. Esta conclusión significa que puede ser utilizado como pieza de vehículo para aplicaciones interiores y en cualquier tipo de vehículo ferroviario.</w:t>
      </w:r>
    </w:p>
    <w:p w14:paraId="341E9B05" w14:textId="77777777" w:rsidR="004C78D2" w:rsidRPr="004C78D2" w:rsidRDefault="004C78D2" w:rsidP="004C78D2">
      <w:pPr>
        <w:pStyle w:val="Prrafodelista"/>
        <w:numPr>
          <w:ilvl w:val="0"/>
          <w:numId w:val="24"/>
        </w:numPr>
        <w:spacing w:before="0" w:line="240" w:lineRule="auto"/>
        <w:ind w:left="714" w:hanging="357"/>
        <w:contextualSpacing w:val="0"/>
        <w:rPr>
          <w:noProof/>
          <w:szCs w:val="18"/>
        </w:rPr>
      </w:pPr>
      <w:r w:rsidRPr="004C78D2">
        <w:rPr>
          <w:noProof/>
          <w:szCs w:val="18"/>
        </w:rPr>
        <w:t>Los obtenidos sobre los composites ignífugos tras los ensayos mecánicos revelan que no existen diferencias significativas entre la muestra referencia, comp_0 (composite sin ignifugar) y los que incorporan el ATH (Apyral20X). Por lo tanto, con el presente estudio se ha demostrado que la incorporación de retardantes de llama tipo ATH en un composite de resina poliéster reforzado con fibras de vidrio no altera negativamente las propiedades mecánicas.</w:t>
      </w:r>
    </w:p>
    <w:p w14:paraId="41055654" w14:textId="7F7F19B4" w:rsidR="00A32C0B" w:rsidRDefault="00A32C0B" w:rsidP="009C40E5">
      <w:pPr>
        <w:pStyle w:val="TtuloReferencias"/>
        <w:ind w:firstLine="0"/>
        <w:rPr>
          <w:lang w:val="es-ES"/>
        </w:rPr>
      </w:pPr>
      <w:r w:rsidRPr="00B42B10">
        <w:rPr>
          <w:lang w:val="es-ES"/>
        </w:rPr>
        <w:t>Agradecimientos</w:t>
      </w:r>
    </w:p>
    <w:p w14:paraId="7BD0D224" w14:textId="77777777" w:rsidR="004C78D2" w:rsidRPr="004C78D2" w:rsidRDefault="004C78D2" w:rsidP="004C78D2">
      <w:pPr>
        <w:spacing w:before="0" w:line="240" w:lineRule="auto"/>
        <w:rPr>
          <w:noProof/>
          <w:szCs w:val="18"/>
        </w:rPr>
      </w:pPr>
      <w:r w:rsidRPr="004C78D2">
        <w:rPr>
          <w:noProof/>
          <w:szCs w:val="18"/>
        </w:rPr>
        <w:t>Los autores agradecen a la empresa Nabaltec por el amable suministro de las cargas ignífugas utilizadas en el presente estudio. A la SPRI por su apoyo mediante el proyecto AVANSITE (KK-2020/00019) con el que se ha podido financiar parte de esta investigación.</w:t>
      </w:r>
    </w:p>
    <w:p w14:paraId="043BD809" w14:textId="4F79142A" w:rsidR="004C78D2" w:rsidRPr="004C78D2" w:rsidRDefault="00A17D9E" w:rsidP="004C78D2">
      <w:pPr>
        <w:pStyle w:val="TtuloReferencias"/>
        <w:ind w:firstLine="0"/>
      </w:pPr>
      <w:r>
        <w:t>Referencias</w:t>
      </w:r>
    </w:p>
    <w:p w14:paraId="06DB8400" w14:textId="77777777" w:rsidR="004C78D2" w:rsidRPr="004C78D2" w:rsidRDefault="004C78D2" w:rsidP="004C78D2">
      <w:pPr>
        <w:pStyle w:val="Bibliografa"/>
        <w:spacing w:before="0" w:after="0" w:line="240" w:lineRule="auto"/>
        <w:rPr>
          <w:szCs w:val="18"/>
          <w:lang w:val="en-US"/>
        </w:rPr>
      </w:pPr>
      <w:r w:rsidRPr="004C78D2">
        <w:rPr>
          <w:szCs w:val="18"/>
        </w:rPr>
        <w:fldChar w:fldCharType="begin"/>
      </w:r>
      <w:r w:rsidRPr="004C78D2">
        <w:rPr>
          <w:szCs w:val="18"/>
          <w:lang w:val="en-US"/>
        </w:rPr>
        <w:instrText xml:space="preserve"> ADDIN ZOTERO_BIBL {"uncited":[],"omitted":[],"custom":[]} CSL_BIBLIOGRAPHY </w:instrText>
      </w:r>
      <w:r w:rsidRPr="004C78D2">
        <w:rPr>
          <w:szCs w:val="18"/>
        </w:rPr>
        <w:fldChar w:fldCharType="separate"/>
      </w:r>
      <w:r w:rsidRPr="004C78D2">
        <w:rPr>
          <w:szCs w:val="18"/>
          <w:lang w:val="en-US"/>
        </w:rPr>
        <w:t xml:space="preserve">1. </w:t>
      </w:r>
      <w:r w:rsidRPr="004C78D2">
        <w:rPr>
          <w:szCs w:val="18"/>
          <w:lang w:val="en-US"/>
        </w:rPr>
        <w:tab/>
        <w:t xml:space="preserve">Bellucci, F.; Camino, G. Flammability of Polymer Composites. In </w:t>
      </w:r>
      <w:r w:rsidRPr="004C78D2">
        <w:rPr>
          <w:i/>
          <w:iCs/>
          <w:szCs w:val="18"/>
          <w:lang w:val="en-US"/>
        </w:rPr>
        <w:t>Wiley Encyclopedia of Composites</w:t>
      </w:r>
      <w:r w:rsidRPr="004C78D2">
        <w:rPr>
          <w:szCs w:val="18"/>
          <w:lang w:val="en-US"/>
        </w:rPr>
        <w:t>; John Wiley &amp; Sons, Ltd, 2012; pp. 1–17 ISBN 978-1-118-09729-8.</w:t>
      </w:r>
    </w:p>
    <w:p w14:paraId="2E63A65A" w14:textId="77777777" w:rsidR="004C78D2" w:rsidRPr="004C78D2" w:rsidRDefault="004C78D2" w:rsidP="004C78D2">
      <w:pPr>
        <w:pStyle w:val="Bibliografa"/>
        <w:spacing w:before="0" w:after="0" w:line="240" w:lineRule="auto"/>
        <w:rPr>
          <w:szCs w:val="18"/>
          <w:lang w:val="en-US"/>
        </w:rPr>
      </w:pPr>
      <w:r w:rsidRPr="004C78D2">
        <w:rPr>
          <w:szCs w:val="18"/>
          <w:lang w:val="en-US"/>
        </w:rPr>
        <w:t xml:space="preserve">2. </w:t>
      </w:r>
      <w:r w:rsidRPr="004C78D2">
        <w:rPr>
          <w:szCs w:val="18"/>
          <w:lang w:val="en-US"/>
        </w:rPr>
        <w:tab/>
        <w:t xml:space="preserve">Morgan, A.B. </w:t>
      </w:r>
      <w:r w:rsidRPr="004C78D2">
        <w:rPr>
          <w:i/>
          <w:iCs/>
          <w:szCs w:val="18"/>
          <w:lang w:val="en-US"/>
        </w:rPr>
        <w:t>Non-Halogenated Flame Retardant Handbook</w:t>
      </w:r>
      <w:r w:rsidRPr="004C78D2">
        <w:rPr>
          <w:szCs w:val="18"/>
          <w:lang w:val="en-US"/>
        </w:rPr>
        <w:t>; John Wiley &amp; Sons, 2021; ISBN 978-1-119-75206-6.</w:t>
      </w:r>
    </w:p>
    <w:p w14:paraId="3FF1A6EF" w14:textId="77777777" w:rsidR="004C78D2" w:rsidRPr="004C78D2" w:rsidRDefault="004C78D2" w:rsidP="004C78D2">
      <w:pPr>
        <w:pStyle w:val="Bibliografa"/>
        <w:spacing w:before="0" w:after="0" w:line="240" w:lineRule="auto"/>
        <w:rPr>
          <w:szCs w:val="18"/>
          <w:lang w:val="en-US"/>
        </w:rPr>
      </w:pPr>
      <w:r w:rsidRPr="004C78D2">
        <w:rPr>
          <w:szCs w:val="18"/>
          <w:lang w:val="en-US"/>
        </w:rPr>
        <w:t xml:space="preserve">3. </w:t>
      </w:r>
      <w:r w:rsidRPr="004C78D2">
        <w:rPr>
          <w:szCs w:val="18"/>
          <w:lang w:val="en-US"/>
        </w:rPr>
        <w:tab/>
        <w:t xml:space="preserve">Maheshwari, N.; Thakur, S.; Neogi, P.; Neogi, S. UV Resistance and Fire Retardant Property Enhancement of Unsaturated Polyester Composite. </w:t>
      </w:r>
      <w:r w:rsidRPr="004C78D2">
        <w:rPr>
          <w:i/>
          <w:iCs/>
          <w:szCs w:val="18"/>
          <w:lang w:val="en-US"/>
        </w:rPr>
        <w:t>Polym. Bull.</w:t>
      </w:r>
      <w:r w:rsidRPr="004C78D2">
        <w:rPr>
          <w:szCs w:val="18"/>
          <w:lang w:val="en-US"/>
        </w:rPr>
        <w:t xml:space="preserve"> </w:t>
      </w:r>
      <w:r w:rsidRPr="004C78D2">
        <w:rPr>
          <w:b/>
          <w:bCs/>
          <w:szCs w:val="18"/>
          <w:lang w:val="en-US"/>
        </w:rPr>
        <w:t>2015</w:t>
      </w:r>
      <w:r w:rsidRPr="004C78D2">
        <w:rPr>
          <w:szCs w:val="18"/>
          <w:lang w:val="en-US"/>
        </w:rPr>
        <w:t xml:space="preserve">, </w:t>
      </w:r>
      <w:r w:rsidRPr="004C78D2">
        <w:rPr>
          <w:i/>
          <w:iCs/>
          <w:szCs w:val="18"/>
          <w:lang w:val="en-US"/>
        </w:rPr>
        <w:t>72</w:t>
      </w:r>
      <w:r w:rsidRPr="004C78D2">
        <w:rPr>
          <w:szCs w:val="18"/>
          <w:lang w:val="en-US"/>
        </w:rPr>
        <w:t>, 1433–1447, doi:10.1007/s00289-015-1346-z.</w:t>
      </w:r>
    </w:p>
    <w:p w14:paraId="349DE94E" w14:textId="77777777" w:rsidR="004C78D2" w:rsidRPr="004C78D2" w:rsidRDefault="004C78D2" w:rsidP="004C78D2">
      <w:pPr>
        <w:pStyle w:val="Bibliografa"/>
        <w:spacing w:before="0" w:after="0" w:line="240" w:lineRule="auto"/>
        <w:rPr>
          <w:szCs w:val="18"/>
          <w:lang w:val="en-US"/>
        </w:rPr>
      </w:pPr>
      <w:r w:rsidRPr="004C78D2">
        <w:rPr>
          <w:szCs w:val="18"/>
          <w:lang w:val="en-US"/>
        </w:rPr>
        <w:t xml:space="preserve">4. </w:t>
      </w:r>
      <w:r w:rsidRPr="004C78D2">
        <w:rPr>
          <w:szCs w:val="18"/>
          <w:lang w:val="en-US"/>
        </w:rPr>
        <w:tab/>
        <w:t xml:space="preserve">Rusnáková, S.; Žaludek, M.; Kubišová, M.; Rusnák, V. OOA Composite Structures Applicable in Railway Industry. </w:t>
      </w:r>
      <w:r w:rsidRPr="004C78D2">
        <w:rPr>
          <w:i/>
          <w:iCs/>
          <w:szCs w:val="18"/>
          <w:lang w:val="en-US"/>
        </w:rPr>
        <w:t>MATEC Web Conf.</w:t>
      </w:r>
      <w:r w:rsidRPr="004C78D2">
        <w:rPr>
          <w:szCs w:val="18"/>
          <w:lang w:val="en-US"/>
        </w:rPr>
        <w:t xml:space="preserve"> </w:t>
      </w:r>
      <w:r w:rsidRPr="004C78D2">
        <w:rPr>
          <w:b/>
          <w:bCs/>
          <w:szCs w:val="18"/>
          <w:lang w:val="en-US"/>
        </w:rPr>
        <w:t>2017</w:t>
      </w:r>
      <w:r w:rsidRPr="004C78D2">
        <w:rPr>
          <w:szCs w:val="18"/>
          <w:lang w:val="en-US"/>
        </w:rPr>
        <w:t xml:space="preserve">, </w:t>
      </w:r>
      <w:r w:rsidRPr="004C78D2">
        <w:rPr>
          <w:i/>
          <w:iCs/>
          <w:szCs w:val="18"/>
          <w:lang w:val="en-US"/>
        </w:rPr>
        <w:t>121</w:t>
      </w:r>
      <w:r w:rsidRPr="004C78D2">
        <w:rPr>
          <w:szCs w:val="18"/>
          <w:lang w:val="en-US"/>
        </w:rPr>
        <w:t>, 01015, doi:10.1051/matecconf/201712101015.</w:t>
      </w:r>
    </w:p>
    <w:p w14:paraId="290C1DF1" w14:textId="77777777" w:rsidR="004C78D2" w:rsidRPr="004C78D2" w:rsidRDefault="004C78D2" w:rsidP="004C78D2">
      <w:pPr>
        <w:pStyle w:val="Bibliografa"/>
        <w:spacing w:before="0" w:after="0" w:line="240" w:lineRule="auto"/>
        <w:rPr>
          <w:szCs w:val="18"/>
          <w:lang w:val="en-US"/>
        </w:rPr>
      </w:pPr>
      <w:r w:rsidRPr="004C78D2">
        <w:rPr>
          <w:szCs w:val="18"/>
          <w:lang w:val="en-US"/>
        </w:rPr>
        <w:t xml:space="preserve">5. </w:t>
      </w:r>
      <w:r w:rsidRPr="004C78D2">
        <w:rPr>
          <w:szCs w:val="18"/>
          <w:lang w:val="en-US"/>
        </w:rPr>
        <w:tab/>
        <w:t xml:space="preserve">G. Pérez-de-Eulate, N.; Iztueta, A.A.; Gondra, K.; Vallejo, F.J. Influence of the Fibre Content, Exposure Time, and Compaction Pressure on the Mechanical Properties of Ultraviolet-Cured Composites. </w:t>
      </w:r>
      <w:r w:rsidRPr="004C78D2">
        <w:rPr>
          <w:i/>
          <w:iCs/>
          <w:szCs w:val="18"/>
          <w:lang w:val="en-US"/>
        </w:rPr>
        <w:t>Journal of Composites Science</w:t>
      </w:r>
      <w:r w:rsidRPr="004C78D2">
        <w:rPr>
          <w:szCs w:val="18"/>
          <w:lang w:val="en-US"/>
        </w:rPr>
        <w:t xml:space="preserve"> </w:t>
      </w:r>
      <w:r w:rsidRPr="004C78D2">
        <w:rPr>
          <w:b/>
          <w:bCs/>
          <w:szCs w:val="18"/>
          <w:lang w:val="en-US"/>
        </w:rPr>
        <w:t>2020</w:t>
      </w:r>
      <w:r w:rsidRPr="004C78D2">
        <w:rPr>
          <w:szCs w:val="18"/>
          <w:lang w:val="en-US"/>
        </w:rPr>
        <w:t xml:space="preserve">, </w:t>
      </w:r>
      <w:r w:rsidRPr="004C78D2">
        <w:rPr>
          <w:i/>
          <w:iCs/>
          <w:szCs w:val="18"/>
          <w:lang w:val="en-US"/>
        </w:rPr>
        <w:t>4</w:t>
      </w:r>
      <w:r w:rsidRPr="004C78D2">
        <w:rPr>
          <w:szCs w:val="18"/>
          <w:lang w:val="en-US"/>
        </w:rPr>
        <w:t>, 30, doi:10.3390/jcs4010030.</w:t>
      </w:r>
    </w:p>
    <w:p w14:paraId="50E580C4" w14:textId="77777777" w:rsidR="004C78D2" w:rsidRPr="004C78D2" w:rsidRDefault="004C78D2" w:rsidP="004C78D2">
      <w:pPr>
        <w:pStyle w:val="Bibliografa"/>
        <w:spacing w:before="0" w:after="0" w:line="240" w:lineRule="auto"/>
        <w:rPr>
          <w:szCs w:val="18"/>
          <w:lang w:val="en-US"/>
        </w:rPr>
      </w:pPr>
      <w:r w:rsidRPr="004C78D2">
        <w:rPr>
          <w:szCs w:val="18"/>
          <w:lang w:val="en-US"/>
        </w:rPr>
        <w:t xml:space="preserve">6. </w:t>
      </w:r>
      <w:r w:rsidRPr="004C78D2">
        <w:rPr>
          <w:szCs w:val="18"/>
          <w:lang w:val="en-US"/>
        </w:rPr>
        <w:tab/>
        <w:t xml:space="preserve">Demleitner, M.; Sanchez‐Vazquez, S.A.; Raps, D.; Bakis, G.; Pflock, T.; Chaloupka, A.; Schmölzer, S.; Altstädt, V. Dielectric Analysis Monitoring of Thermoset Curing with Ionic Liquids: From Modeling to the Prediction in the Resin Transfer Molding Process. </w:t>
      </w:r>
      <w:r w:rsidRPr="004C78D2">
        <w:rPr>
          <w:i/>
          <w:iCs/>
          <w:szCs w:val="18"/>
          <w:lang w:val="en-US"/>
        </w:rPr>
        <w:t>Polymer Composites</w:t>
      </w:r>
      <w:r w:rsidRPr="004C78D2">
        <w:rPr>
          <w:szCs w:val="18"/>
          <w:lang w:val="en-US"/>
        </w:rPr>
        <w:t xml:space="preserve"> </w:t>
      </w:r>
      <w:r w:rsidRPr="004C78D2">
        <w:rPr>
          <w:b/>
          <w:bCs/>
          <w:szCs w:val="18"/>
          <w:lang w:val="en-US"/>
        </w:rPr>
        <w:t>2019</w:t>
      </w:r>
      <w:r w:rsidRPr="004C78D2">
        <w:rPr>
          <w:szCs w:val="18"/>
          <w:lang w:val="en-US"/>
        </w:rPr>
        <w:t xml:space="preserve">, </w:t>
      </w:r>
      <w:r w:rsidRPr="004C78D2">
        <w:rPr>
          <w:i/>
          <w:iCs/>
          <w:szCs w:val="18"/>
          <w:lang w:val="en-US"/>
        </w:rPr>
        <w:t>40</w:t>
      </w:r>
      <w:r w:rsidRPr="004C78D2">
        <w:rPr>
          <w:szCs w:val="18"/>
          <w:lang w:val="en-US"/>
        </w:rPr>
        <w:t>, 4500–4509, doi:10.1002/pc.25306.</w:t>
      </w:r>
    </w:p>
    <w:p w14:paraId="0F89AD5B" w14:textId="77777777" w:rsidR="004C78D2" w:rsidRPr="004C78D2" w:rsidRDefault="004C78D2" w:rsidP="004C78D2">
      <w:pPr>
        <w:pStyle w:val="Bibliografa"/>
        <w:spacing w:before="0" w:after="0" w:line="240" w:lineRule="auto"/>
        <w:rPr>
          <w:szCs w:val="18"/>
        </w:rPr>
      </w:pPr>
      <w:r w:rsidRPr="004C78D2">
        <w:rPr>
          <w:szCs w:val="18"/>
          <w:lang w:val="en-US"/>
        </w:rPr>
        <w:t xml:space="preserve">7. </w:t>
      </w:r>
      <w:r w:rsidRPr="004C78D2">
        <w:rPr>
          <w:szCs w:val="18"/>
          <w:lang w:val="en-US"/>
        </w:rPr>
        <w:tab/>
        <w:t xml:space="preserve">Schartel, B.; Hull, T.R. Development of Fire-Retarded Materials—Interpretation of Cone Calorimeter Data. </w:t>
      </w:r>
      <w:r w:rsidRPr="004C78D2">
        <w:rPr>
          <w:i/>
          <w:iCs/>
          <w:szCs w:val="18"/>
        </w:rPr>
        <w:t>Fire and Materials</w:t>
      </w:r>
      <w:r w:rsidRPr="004C78D2">
        <w:rPr>
          <w:szCs w:val="18"/>
        </w:rPr>
        <w:t xml:space="preserve"> </w:t>
      </w:r>
      <w:r w:rsidRPr="004C78D2">
        <w:rPr>
          <w:b/>
          <w:bCs/>
          <w:szCs w:val="18"/>
        </w:rPr>
        <w:t>2007</w:t>
      </w:r>
      <w:r w:rsidRPr="004C78D2">
        <w:rPr>
          <w:szCs w:val="18"/>
        </w:rPr>
        <w:t xml:space="preserve">, </w:t>
      </w:r>
      <w:r w:rsidRPr="004C78D2">
        <w:rPr>
          <w:i/>
          <w:iCs/>
          <w:szCs w:val="18"/>
        </w:rPr>
        <w:t>31</w:t>
      </w:r>
      <w:r w:rsidRPr="004C78D2">
        <w:rPr>
          <w:szCs w:val="18"/>
        </w:rPr>
        <w:t>, 327–354, doi:10.1002/fam.949.</w:t>
      </w:r>
    </w:p>
    <w:p w14:paraId="117BADDD" w14:textId="2FCC40D8" w:rsidR="004C78D2" w:rsidRPr="00694B32" w:rsidRDefault="004C78D2" w:rsidP="004C78D2">
      <w:pPr>
        <w:pStyle w:val="TtuloReferencias"/>
        <w:spacing w:before="0" w:line="240" w:lineRule="auto"/>
        <w:ind w:left="0" w:firstLine="0"/>
      </w:pPr>
      <w:r w:rsidRPr="004C78D2">
        <w:rPr>
          <w:sz w:val="18"/>
          <w:szCs w:val="18"/>
        </w:rPr>
        <w:fldChar w:fldCharType="end"/>
      </w:r>
    </w:p>
    <w:sectPr w:rsidR="004C78D2" w:rsidRPr="00694B32" w:rsidSect="003D4F12">
      <w:headerReference w:type="default" r:id="rId22"/>
      <w:footerReference w:type="default" r:id="rId23"/>
      <w:endnotePr>
        <w:numFmt w:val="decimal"/>
      </w:endnotePr>
      <w:type w:val="continuous"/>
      <w:pgSz w:w="11906" w:h="16838"/>
      <w:pgMar w:top="305" w:right="709" w:bottom="1276" w:left="709" w:header="142" w:footer="624" w:gutter="0"/>
      <w:cols w:num="2" w:space="42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7B4ED" w14:textId="77777777" w:rsidR="006B2324" w:rsidRPr="00051FCD" w:rsidRDefault="006B2324" w:rsidP="00051FCD">
      <w:pPr>
        <w:pStyle w:val="Piedepgina"/>
      </w:pPr>
    </w:p>
  </w:endnote>
  <w:endnote w:type="continuationSeparator" w:id="0">
    <w:p w14:paraId="45B17D32" w14:textId="77777777" w:rsidR="006B2324" w:rsidRDefault="006B2324" w:rsidP="002523FA">
      <w:pPr>
        <w:spacing w:line="240" w:lineRule="auto"/>
      </w:pPr>
      <w:r>
        <w:continuationSeparator/>
      </w:r>
    </w:p>
    <w:p w14:paraId="451CB8FC" w14:textId="77777777" w:rsidR="006B2324" w:rsidRDefault="006B2324"/>
    <w:p w14:paraId="79F182DF" w14:textId="77777777" w:rsidR="006B2324" w:rsidRDefault="006B2324" w:rsidP="00F27178"/>
    <w:p w14:paraId="4136915C" w14:textId="77777777" w:rsidR="006B2324" w:rsidRDefault="006B2324" w:rsidP="00F27178"/>
    <w:p w14:paraId="65734312" w14:textId="77777777" w:rsidR="006B2324" w:rsidRDefault="006B2324" w:rsidP="00F27178"/>
    <w:p w14:paraId="11E102C7" w14:textId="77777777" w:rsidR="006B2324" w:rsidRDefault="006B2324" w:rsidP="00F27178"/>
    <w:p w14:paraId="00343BBA" w14:textId="77777777" w:rsidR="006B2324" w:rsidRDefault="006B2324" w:rsidP="00226EEB"/>
    <w:p w14:paraId="6EE40138" w14:textId="77777777" w:rsidR="006B2324" w:rsidRDefault="006B2324" w:rsidP="00E96DDC"/>
    <w:p w14:paraId="3C0FB975" w14:textId="77777777" w:rsidR="006B2324" w:rsidRDefault="006B2324" w:rsidP="00CC5268"/>
    <w:p w14:paraId="424A85F6" w14:textId="77777777" w:rsidR="006B2324" w:rsidRDefault="006B2324"/>
  </w:endnote>
  <w:endnote w:type="continuationNotice" w:id="1">
    <w:p w14:paraId="26F96256" w14:textId="77777777" w:rsidR="006B2324" w:rsidRPr="00051FCD" w:rsidRDefault="006B2324" w:rsidP="00051FCD">
      <w:pPr>
        <w:pStyle w:val="Piedepgina"/>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13407" w14:textId="77777777" w:rsidR="00B9338F" w:rsidRDefault="00B7288F" w:rsidP="005066DE">
    <w:pPr>
      <w:pStyle w:val="Piedepgina"/>
      <w:spacing w:before="0" w:after="0"/>
      <w:ind w:left="567"/>
      <w:jc w:val="left"/>
      <w:rPr>
        <w:noProof/>
        <w:sz w:val="14"/>
        <w:szCs w:val="14"/>
      </w:rPr>
    </w:pPr>
    <w:r>
      <w:rPr>
        <w:noProof/>
        <w:lang w:eastAsia="es-ES"/>
      </w:rPr>
      <w:drawing>
        <wp:anchor distT="0" distB="0" distL="114300" distR="114300" simplePos="0" relativeHeight="251666432" behindDoc="1" locked="0" layoutInCell="1" allowOverlap="1" wp14:anchorId="27B8B8EB" wp14:editId="749ADB32">
          <wp:simplePos x="0" y="0"/>
          <wp:positionH relativeFrom="column">
            <wp:posOffset>6070600</wp:posOffset>
          </wp:positionH>
          <wp:positionV relativeFrom="paragraph">
            <wp:posOffset>-59055</wp:posOffset>
          </wp:positionV>
          <wp:extent cx="690880" cy="241300"/>
          <wp:effectExtent l="0" t="0" r="0" b="6350"/>
          <wp:wrapTight wrapText="bothSides">
            <wp:wrapPolygon edited="0">
              <wp:start x="0" y="0"/>
              <wp:lineTo x="0" y="20463"/>
              <wp:lineTo x="20846" y="20463"/>
              <wp:lineTo x="20846" y="0"/>
              <wp:lineTo x="0" y="0"/>
            </wp:wrapPolygon>
          </wp:wrapTight>
          <wp:docPr id="8" name="Picture 8" descr="http://co.creativecommons.org/wp-content/uploads/2008/02/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creativecommons.org/wp-content/uploads/2008/02/by.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0880" cy="24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E1A" w:rsidRPr="0072467E">
      <w:rPr>
        <w:noProof/>
        <w:sz w:val="14"/>
        <w:szCs w:val="14"/>
        <w:lang w:eastAsia="es-ES"/>
      </w:rPr>
      <mc:AlternateContent>
        <mc:Choice Requires="wps">
          <w:drawing>
            <wp:anchor distT="0" distB="0" distL="114300" distR="114300" simplePos="0" relativeHeight="251663360" behindDoc="0" locked="0" layoutInCell="1" allowOverlap="1" wp14:anchorId="73D80678" wp14:editId="417D2CCB">
              <wp:simplePos x="0" y="0"/>
              <wp:positionH relativeFrom="column">
                <wp:posOffset>369147</wp:posOffset>
              </wp:positionH>
              <wp:positionV relativeFrom="paragraph">
                <wp:posOffset>-57785</wp:posOffset>
              </wp:positionV>
              <wp:extent cx="789305" cy="0"/>
              <wp:effectExtent l="0" t="0" r="10795" b="19050"/>
              <wp:wrapNone/>
              <wp:docPr id="14" name="Conector recto 14"/>
              <wp:cNvGraphicFramePr/>
              <a:graphic xmlns:a="http://schemas.openxmlformats.org/drawingml/2006/main">
                <a:graphicData uri="http://schemas.microsoft.com/office/word/2010/wordprocessingShape">
                  <wps:wsp>
                    <wps:cNvCnPr/>
                    <wps:spPr>
                      <a:xfrm>
                        <a:off x="0" y="0"/>
                        <a:ext cx="78930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C781A2" id="Conector recto 14"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05pt,-4.55pt" to="91.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" strokecolor="black [3213]" strokeweight=".25pt">
              <v:stroke joinstyle="miter"/>
            </v:line>
          </w:pict>
        </mc:Fallback>
      </mc:AlternateContent>
    </w:r>
    <w:r w:rsidR="00B9338F">
      <w:rPr>
        <w:noProof/>
        <w:sz w:val="14"/>
        <w:szCs w:val="14"/>
      </w:rPr>
      <w:t>Autor de contacto:</w:t>
    </w:r>
    <w:r w:rsidR="00B9338F" w:rsidRPr="006D2E8C">
      <w:rPr>
        <w:noProof/>
        <w:lang w:eastAsia="en-GB"/>
      </w:rPr>
      <w:t xml:space="preserve"> </w:t>
    </w:r>
    <w:r w:rsidR="00B9338F" w:rsidRPr="006D2E8C">
      <w:rPr>
        <w:noProof/>
        <w:lang w:eastAsia="en-GB"/>
      </w:rPr>
      <w:tab/>
    </w:r>
    <w:r w:rsidR="00B9338F" w:rsidRPr="006D2E8C">
      <w:rPr>
        <w:noProof/>
        <w:lang w:eastAsia="en-GB"/>
      </w:rPr>
      <w:tab/>
    </w:r>
    <w:r w:rsidR="00B9338F" w:rsidRPr="006D2E8C">
      <w:rPr>
        <w:noProof/>
        <w:lang w:eastAsia="en-GB"/>
      </w:rPr>
      <w:tab/>
    </w:r>
  </w:p>
  <w:p w14:paraId="72859DCC" w14:textId="55A6E154" w:rsidR="00274C9A" w:rsidRPr="00960BA6" w:rsidRDefault="00274C9A" w:rsidP="005066DE">
    <w:pPr>
      <w:pStyle w:val="Piedepgina"/>
      <w:spacing w:before="0" w:after="0"/>
      <w:ind w:left="567"/>
      <w:jc w:val="left"/>
      <w:rPr>
        <w:noProof/>
        <w:sz w:val="14"/>
        <w:szCs w:val="14"/>
        <w:lang w:eastAsia="es-ES"/>
      </w:rPr>
    </w:pPr>
    <w:r w:rsidRPr="00960BA6">
      <w:rPr>
        <w:noProof/>
        <w:sz w:val="14"/>
        <w:szCs w:val="14"/>
      </w:rPr>
      <w:t xml:space="preserve">e-mail: </w:t>
    </w:r>
    <w:hyperlink r:id="rId2" w:history="1">
      <w:r w:rsidR="008E0929" w:rsidRPr="006A3EB4">
        <w:rPr>
          <w:rStyle w:val="Hipervnculo"/>
          <w:noProof/>
          <w:sz w:val="14"/>
          <w:szCs w:val="14"/>
        </w:rPr>
        <w:t>ngutierrez@ideko.es</w:t>
      </w:r>
    </w:hyperlink>
    <w:r w:rsidR="008E0929">
      <w:rPr>
        <w:noProof/>
        <w:sz w:val="14"/>
        <w:szCs w:val="14"/>
      </w:rPr>
      <w:t xml:space="preserve"> </w:t>
    </w:r>
    <w:r w:rsidR="00B9338F" w:rsidRPr="008E0929">
      <w:rPr>
        <w:noProof/>
        <w:sz w:val="14"/>
        <w:szCs w:val="14"/>
      </w:rPr>
      <w:t>(A</w:t>
    </w:r>
    <w:r w:rsidR="00B9338F" w:rsidRPr="00B9338F">
      <w:rPr>
        <w:noProof/>
        <w:color w:val="29334D"/>
        <w:sz w:val="14"/>
        <w:szCs w:val="14"/>
      </w:rPr>
      <w:t>utor Contacto)</w:t>
    </w:r>
    <w:r w:rsidR="00B9338F">
      <w:rPr>
        <w:noProof/>
        <w:color w:val="0A81AE"/>
        <w:sz w:val="14"/>
        <w:szCs w:val="14"/>
      </w:rPr>
      <w:tab/>
    </w:r>
    <w:r w:rsidR="00B9338F">
      <w:rPr>
        <w:noProof/>
        <w:color w:val="0A81AE"/>
        <w:sz w:val="14"/>
        <w:szCs w:val="14"/>
      </w:rPr>
      <w:tab/>
    </w:r>
    <w:r w:rsidR="00B9338F">
      <w:rPr>
        <w:noProof/>
        <w:color w:val="0A81AE"/>
        <w:sz w:val="14"/>
        <w:szCs w:val="14"/>
      </w:rPr>
      <w:tab/>
      <w:t xml:space="preserve"> </w:t>
    </w:r>
  </w:p>
  <w:p w14:paraId="0B03903A" w14:textId="0F922266" w:rsidR="0067627B" w:rsidRPr="00B9338F" w:rsidRDefault="00C75E10" w:rsidP="00C75E10">
    <w:pPr>
      <w:pStyle w:val="Piedepgina"/>
      <w:spacing w:before="0" w:after="0"/>
      <w:ind w:left="567"/>
      <w:jc w:val="left"/>
      <w:rPr>
        <w:noProof/>
        <w:sz w:val="14"/>
        <w:szCs w:val="14"/>
      </w:rPr>
    </w:pPr>
    <w:r w:rsidRPr="00B9338F">
      <w:rPr>
        <w:noProof/>
        <w:sz w:val="14"/>
        <w:szCs w:val="14"/>
      </w:rPr>
      <w:tab/>
    </w:r>
    <w:r w:rsidR="00051FCD">
      <w:rPr>
        <w:noProof/>
        <w:sz w:val="14"/>
        <w:szCs w:val="14"/>
      </w:rPr>
      <w:tab/>
    </w:r>
    <w:r w:rsidR="00051FCD">
      <w:rPr>
        <w:noProof/>
        <w:sz w:val="14"/>
        <w:szCs w:val="14"/>
      </w:rPr>
      <w:tab/>
      <w:t xml:space="preserve">              </w:t>
    </w:r>
    <w:r w:rsidR="00F52BF8">
      <w:rPr>
        <w:noProof/>
        <w:sz w:val="14"/>
        <w:szCs w:val="14"/>
      </w:rPr>
      <w:t xml:space="preserve"> Año 20</w:t>
    </w:r>
    <w:r w:rsidR="008E0929">
      <w:rPr>
        <w:noProof/>
        <w:sz w:val="14"/>
        <w:szCs w:val="14"/>
      </w:rPr>
      <w:t>22</w:t>
    </w:r>
    <w:r w:rsidRPr="00B9338F">
      <w:rPr>
        <w:noProof/>
        <w:sz w:val="14"/>
        <w:szCs w:val="14"/>
      </w:rPr>
      <w:tab/>
    </w:r>
    <w:r w:rsidRPr="00B9338F">
      <w:rPr>
        <w:noProof/>
        <w:sz w:val="14"/>
        <w:szCs w:val="14"/>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F505C" w14:textId="77777777" w:rsidR="008D6516" w:rsidRPr="00F00C4B" w:rsidRDefault="001D01FE" w:rsidP="001D01FE">
    <w:pPr>
      <w:pStyle w:val="Piedepgina"/>
      <w:ind w:left="567"/>
      <w:jc w:val="center"/>
      <w:rPr>
        <w:noProof/>
        <w:sz w:val="14"/>
        <w:szCs w:val="14"/>
        <w:lang w:val="en-US"/>
      </w:rPr>
    </w:pPr>
    <w:r>
      <w:rPr>
        <w:noProof/>
        <w:sz w:val="14"/>
        <w:szCs w:val="14"/>
        <w:lang w:eastAsia="es-ES"/>
      </w:rPr>
      <w:drawing>
        <wp:anchor distT="0" distB="0" distL="114300" distR="114300" simplePos="0" relativeHeight="251665408" behindDoc="1" locked="0" layoutInCell="1" allowOverlap="1" wp14:anchorId="7A2C43AE" wp14:editId="0F2D658C">
          <wp:simplePos x="0" y="0"/>
          <wp:positionH relativeFrom="column">
            <wp:posOffset>3220085</wp:posOffset>
          </wp:positionH>
          <wp:positionV relativeFrom="paragraph">
            <wp:posOffset>-51435</wp:posOffset>
          </wp:positionV>
          <wp:extent cx="286385" cy="328295"/>
          <wp:effectExtent l="0" t="0" r="0" b="0"/>
          <wp:wrapThrough wrapText="bothSides">
            <wp:wrapPolygon edited="0">
              <wp:start x="0" y="0"/>
              <wp:lineTo x="0" y="20054"/>
              <wp:lineTo x="20115" y="20054"/>
              <wp:lineTo x="20115" y="0"/>
              <wp:lineTo x="0" y="0"/>
            </wp:wrapPolygon>
          </wp:wrapThrough>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MAC_bot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385" cy="3282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B1A93" w14:textId="77777777" w:rsidR="006B2324" w:rsidRDefault="006B2324" w:rsidP="002523FA">
      <w:pPr>
        <w:spacing w:line="240" w:lineRule="auto"/>
      </w:pPr>
      <w:r>
        <w:separator/>
      </w:r>
    </w:p>
    <w:p w14:paraId="5507691F" w14:textId="77777777" w:rsidR="006B2324" w:rsidRDefault="006B2324"/>
    <w:p w14:paraId="18589D6F" w14:textId="77777777" w:rsidR="006B2324" w:rsidRDefault="006B2324" w:rsidP="00F27178"/>
    <w:p w14:paraId="1A9C76A1" w14:textId="77777777" w:rsidR="006B2324" w:rsidRDefault="006B2324" w:rsidP="00F27178"/>
    <w:p w14:paraId="7F7FC704" w14:textId="77777777" w:rsidR="006B2324" w:rsidRDefault="006B2324" w:rsidP="00F27178"/>
    <w:p w14:paraId="6402DE0F" w14:textId="77777777" w:rsidR="006B2324" w:rsidRDefault="006B2324" w:rsidP="00F27178"/>
    <w:p w14:paraId="5D0DDE28" w14:textId="77777777" w:rsidR="006B2324" w:rsidRDefault="006B2324" w:rsidP="00226EEB"/>
    <w:p w14:paraId="78109645" w14:textId="77777777" w:rsidR="006B2324" w:rsidRDefault="006B2324" w:rsidP="00E96DDC"/>
    <w:p w14:paraId="2F61CAEE" w14:textId="77777777" w:rsidR="006B2324" w:rsidRDefault="006B2324" w:rsidP="00CC5268"/>
    <w:p w14:paraId="55B2DBA9" w14:textId="77777777" w:rsidR="006B2324" w:rsidRDefault="006B2324"/>
  </w:footnote>
  <w:footnote w:type="continuationSeparator" w:id="0">
    <w:p w14:paraId="5CB67BDB" w14:textId="77777777" w:rsidR="006B2324" w:rsidRDefault="006B2324" w:rsidP="002523FA">
      <w:pPr>
        <w:spacing w:line="240" w:lineRule="auto"/>
      </w:pPr>
      <w:r>
        <w:continuationSeparator/>
      </w:r>
    </w:p>
    <w:p w14:paraId="5FBA664F" w14:textId="77777777" w:rsidR="006B2324" w:rsidRDefault="006B2324"/>
    <w:p w14:paraId="0CF3D82B" w14:textId="77777777" w:rsidR="006B2324" w:rsidRDefault="006B2324" w:rsidP="00F27178"/>
    <w:p w14:paraId="01B89994" w14:textId="77777777" w:rsidR="006B2324" w:rsidRDefault="006B2324" w:rsidP="00F27178"/>
    <w:p w14:paraId="21E87FD6" w14:textId="77777777" w:rsidR="006B2324" w:rsidRDefault="006B2324" w:rsidP="00F27178"/>
    <w:p w14:paraId="6F7CE9A4" w14:textId="77777777" w:rsidR="006B2324" w:rsidRDefault="006B2324" w:rsidP="00F27178"/>
    <w:p w14:paraId="261C3290" w14:textId="77777777" w:rsidR="006B2324" w:rsidRDefault="006B2324" w:rsidP="00226EEB"/>
    <w:p w14:paraId="22CC8D10" w14:textId="77777777" w:rsidR="006B2324" w:rsidRDefault="006B2324" w:rsidP="00E96DDC"/>
    <w:p w14:paraId="1C4C74FC" w14:textId="77777777" w:rsidR="006B2324" w:rsidRDefault="006B2324" w:rsidP="00CC5268"/>
    <w:p w14:paraId="3C3096AD" w14:textId="77777777" w:rsidR="006B2324" w:rsidRDefault="006B23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38B69" w14:textId="77777777" w:rsidR="002523FA" w:rsidRDefault="002523FA" w:rsidP="002523FA">
    <w:pPr>
      <w:pStyle w:val="Encabezado"/>
      <w:ind w:left="-1701"/>
    </w:pPr>
    <w:r>
      <w:rPr>
        <w:noProof/>
        <w:lang w:eastAsia="es-ES"/>
      </w:rPr>
      <mc:AlternateContent>
        <mc:Choice Requires="wps">
          <w:drawing>
            <wp:anchor distT="45720" distB="45720" distL="114300" distR="114300" simplePos="0" relativeHeight="251662336" behindDoc="0" locked="0" layoutInCell="1" allowOverlap="1" wp14:anchorId="4D7B0966" wp14:editId="04247EC0">
              <wp:simplePos x="0" y="0"/>
              <wp:positionH relativeFrom="column">
                <wp:posOffset>1689100</wp:posOffset>
              </wp:positionH>
              <wp:positionV relativeFrom="paragraph">
                <wp:posOffset>1127760</wp:posOffset>
              </wp:positionV>
              <wp:extent cx="4495800" cy="523875"/>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523875"/>
                      </a:xfrm>
                      <a:prstGeom prst="rect">
                        <a:avLst/>
                      </a:prstGeom>
                      <a:solidFill>
                        <a:srgbClr val="FFFFFF"/>
                      </a:solidFill>
                      <a:ln w="9525">
                        <a:noFill/>
                        <a:miter lim="800000"/>
                        <a:headEnd/>
                        <a:tailEnd/>
                      </a:ln>
                    </wps:spPr>
                    <wps:txbx>
                      <w:txbxContent>
                        <w:p w14:paraId="06C72214" w14:textId="77777777" w:rsidR="00B42B10" w:rsidRDefault="00310BAA" w:rsidP="00B42B10">
                          <w:pPr>
                            <w:tabs>
                              <w:tab w:val="left" w:pos="5529"/>
                            </w:tabs>
                            <w:spacing w:before="0" w:after="0"/>
                            <w:jc w:val="left"/>
                            <w:rPr>
                              <w:rFonts w:cs="Arial"/>
                              <w:sz w:val="16"/>
                              <w:szCs w:val="16"/>
                            </w:rPr>
                          </w:pPr>
                          <w:r>
                            <w:fldChar w:fldCharType="begin"/>
                          </w:r>
                          <w:r>
                            <w:instrText xml:space="preserve"> HYPERLINK "http://revista.aemac.org/" </w:instrText>
                          </w:r>
                          <w:r>
                            <w:fldChar w:fldCharType="separate"/>
                          </w:r>
                          <w:r w:rsidR="00B42B10">
                            <w:rPr>
                              <w:rStyle w:val="Hipervnculo"/>
                              <w:rFonts w:cs="Arial"/>
                              <w:sz w:val="16"/>
                              <w:szCs w:val="16"/>
                            </w:rPr>
                            <w:t>http://revista.aemac.org/</w:t>
                          </w:r>
                          <w:r>
                            <w:rPr>
                              <w:rStyle w:val="Hipervnculo"/>
                              <w:rFonts w:cs="Arial"/>
                              <w:sz w:val="16"/>
                              <w:szCs w:val="16"/>
                            </w:rPr>
                            <w:fldChar w:fldCharType="end"/>
                          </w:r>
                          <w:r w:rsidR="00B42B10">
                            <w:rPr>
                              <w:rFonts w:cs="Arial"/>
                              <w:noProof/>
                              <w:sz w:val="16"/>
                              <w:szCs w:val="16"/>
                            </w:rPr>
                            <w:tab/>
                            <w:t xml:space="preserve">ISSN: </w:t>
                          </w:r>
                          <w:r w:rsidR="00B42B10" w:rsidRPr="00727220">
                            <w:rPr>
                              <w:rFonts w:cs="Arial"/>
                              <w:noProof/>
                              <w:sz w:val="16"/>
                              <w:szCs w:val="16"/>
                              <w:highlight w:val="yellow"/>
                            </w:rPr>
                            <w:t>2531-0739</w:t>
                          </w:r>
                        </w:p>
                        <w:p w14:paraId="20731B21" w14:textId="77777777" w:rsidR="00B42B10" w:rsidRDefault="00B42B10" w:rsidP="00B42B10">
                          <w:pPr>
                            <w:spacing w:before="0" w:after="0"/>
                            <w:jc w:val="left"/>
                            <w:rPr>
                              <w:rFonts w:cs="Arial"/>
                              <w:sz w:val="16"/>
                              <w:szCs w:val="16"/>
                            </w:rPr>
                          </w:pPr>
                          <w:proofErr w:type="spellStart"/>
                          <w:r w:rsidRPr="00727220">
                            <w:rPr>
                              <w:rFonts w:cs="Arial"/>
                              <w:sz w:val="16"/>
                              <w:szCs w:val="16"/>
                              <w:highlight w:val="yellow"/>
                            </w:rPr>
                            <w:t>vol</w:t>
                          </w:r>
                          <w:proofErr w:type="spellEnd"/>
                          <w:r w:rsidRPr="00727220">
                            <w:rPr>
                              <w:rFonts w:cs="Arial"/>
                              <w:sz w:val="16"/>
                              <w:szCs w:val="16"/>
                              <w:highlight w:val="yellow"/>
                            </w:rPr>
                            <w:t xml:space="preserve"> 2, </w:t>
                          </w:r>
                          <w:proofErr w:type="spellStart"/>
                          <w:r w:rsidRPr="00727220">
                            <w:rPr>
                              <w:rFonts w:cs="Arial"/>
                              <w:sz w:val="16"/>
                              <w:szCs w:val="16"/>
                              <w:highlight w:val="yellow"/>
                            </w:rPr>
                            <w:t>nº</w:t>
                          </w:r>
                          <w:proofErr w:type="spellEnd"/>
                          <w:r w:rsidRPr="00727220">
                            <w:rPr>
                              <w:rFonts w:cs="Arial"/>
                              <w:sz w:val="16"/>
                              <w:szCs w:val="16"/>
                              <w:highlight w:val="yellow"/>
                            </w:rPr>
                            <w:t xml:space="preserve"> 4, pág. 1-4</w:t>
                          </w:r>
                        </w:p>
                        <w:p w14:paraId="7AE48DDD" w14:textId="77777777" w:rsidR="002523FA" w:rsidRPr="005066DE" w:rsidRDefault="002523FA" w:rsidP="005066DE">
                          <w:pPr>
                            <w:spacing w:before="0" w:after="0"/>
                            <w:jc w:val="left"/>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7B0966" id="_x0000_t202" coordsize="21600,21600" o:spt="202" path="m,l,21600r21600,l21600,xe">
              <v:stroke joinstyle="miter"/>
              <v:path gradientshapeok="t" o:connecttype="rect"/>
            </v:shapetype>
            <v:shape id="Cuadro de texto 2" o:spid="_x0000_s1026" type="#_x0000_t202" style="position:absolute;left:0;text-align:left;margin-left:133pt;margin-top:88.8pt;width:354pt;height:41.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" stroked="f">
              <v:textbox>
                <w:txbxContent>
                  <w:p w14:paraId="06C72214" w14:textId="77777777" w:rsidR="00B42B10" w:rsidRDefault="00310BAA" w:rsidP="00B42B10">
                    <w:pPr>
                      <w:tabs>
                        <w:tab w:val="left" w:pos="5529"/>
                      </w:tabs>
                      <w:spacing w:before="0" w:after="0"/>
                      <w:jc w:val="left"/>
                      <w:rPr>
                        <w:rFonts w:cs="Arial"/>
                        <w:sz w:val="16"/>
                        <w:szCs w:val="16"/>
                      </w:rPr>
                    </w:pPr>
                    <w:r>
                      <w:fldChar w:fldCharType="begin"/>
                    </w:r>
                    <w:r>
                      <w:instrText xml:space="preserve"> HYPERLINK "http://revista.aemac.org/" </w:instrText>
                    </w:r>
                    <w:r>
                      <w:fldChar w:fldCharType="separate"/>
                    </w:r>
                    <w:r w:rsidR="00B42B10">
                      <w:rPr>
                        <w:rStyle w:val="Hipervnculo"/>
                        <w:rFonts w:cs="Arial"/>
                        <w:sz w:val="16"/>
                        <w:szCs w:val="16"/>
                      </w:rPr>
                      <w:t>http://revista.aemac.org/</w:t>
                    </w:r>
                    <w:r>
                      <w:rPr>
                        <w:rStyle w:val="Hipervnculo"/>
                        <w:rFonts w:cs="Arial"/>
                        <w:sz w:val="16"/>
                        <w:szCs w:val="16"/>
                      </w:rPr>
                      <w:fldChar w:fldCharType="end"/>
                    </w:r>
                    <w:r w:rsidR="00B42B10">
                      <w:rPr>
                        <w:rFonts w:cs="Arial"/>
                        <w:noProof/>
                        <w:sz w:val="16"/>
                        <w:szCs w:val="16"/>
                      </w:rPr>
                      <w:tab/>
                      <w:t xml:space="preserve">ISSN: </w:t>
                    </w:r>
                    <w:r w:rsidR="00B42B10" w:rsidRPr="00727220">
                      <w:rPr>
                        <w:rFonts w:cs="Arial"/>
                        <w:noProof/>
                        <w:sz w:val="16"/>
                        <w:szCs w:val="16"/>
                        <w:highlight w:val="yellow"/>
                      </w:rPr>
                      <w:t>2531-0739</w:t>
                    </w:r>
                  </w:p>
                  <w:p w14:paraId="20731B21" w14:textId="77777777" w:rsidR="00B42B10" w:rsidRDefault="00B42B10" w:rsidP="00B42B10">
                    <w:pPr>
                      <w:spacing w:before="0" w:after="0"/>
                      <w:jc w:val="left"/>
                      <w:rPr>
                        <w:rFonts w:cs="Arial"/>
                        <w:sz w:val="16"/>
                        <w:szCs w:val="16"/>
                      </w:rPr>
                    </w:pPr>
                    <w:proofErr w:type="spellStart"/>
                    <w:r w:rsidRPr="00727220">
                      <w:rPr>
                        <w:rFonts w:cs="Arial"/>
                        <w:sz w:val="16"/>
                        <w:szCs w:val="16"/>
                        <w:highlight w:val="yellow"/>
                      </w:rPr>
                      <w:t>vol</w:t>
                    </w:r>
                    <w:proofErr w:type="spellEnd"/>
                    <w:r w:rsidRPr="00727220">
                      <w:rPr>
                        <w:rFonts w:cs="Arial"/>
                        <w:sz w:val="16"/>
                        <w:szCs w:val="16"/>
                        <w:highlight w:val="yellow"/>
                      </w:rPr>
                      <w:t xml:space="preserve"> 2, </w:t>
                    </w:r>
                    <w:proofErr w:type="spellStart"/>
                    <w:r w:rsidRPr="00727220">
                      <w:rPr>
                        <w:rFonts w:cs="Arial"/>
                        <w:sz w:val="16"/>
                        <w:szCs w:val="16"/>
                        <w:highlight w:val="yellow"/>
                      </w:rPr>
                      <w:t>nº</w:t>
                    </w:r>
                    <w:proofErr w:type="spellEnd"/>
                    <w:r w:rsidRPr="00727220">
                      <w:rPr>
                        <w:rFonts w:cs="Arial"/>
                        <w:sz w:val="16"/>
                        <w:szCs w:val="16"/>
                        <w:highlight w:val="yellow"/>
                      </w:rPr>
                      <w:t xml:space="preserve"> 4, pág. 1-4</w:t>
                    </w:r>
                  </w:p>
                  <w:p w14:paraId="7AE48DDD" w14:textId="77777777" w:rsidR="002523FA" w:rsidRPr="005066DE" w:rsidRDefault="002523FA" w:rsidP="005066DE">
                    <w:pPr>
                      <w:spacing w:before="0" w:after="0"/>
                      <w:jc w:val="left"/>
                      <w:rPr>
                        <w:rFonts w:cs="Arial"/>
                        <w:sz w:val="16"/>
                        <w:szCs w:val="16"/>
                      </w:rPr>
                    </w:pPr>
                  </w:p>
                </w:txbxContent>
              </v:textbox>
              <w10:wrap type="square"/>
            </v:shape>
          </w:pict>
        </mc:Fallback>
      </mc:AlternateContent>
    </w:r>
    <w:r w:rsidR="0098336B">
      <w:rPr>
        <w:noProof/>
        <w:lang w:eastAsia="es-ES"/>
      </w:rPr>
      <w:drawing>
        <wp:anchor distT="0" distB="0" distL="114300" distR="114300" simplePos="0" relativeHeight="251661312" behindDoc="0" locked="0" layoutInCell="1" allowOverlap="1" wp14:anchorId="071F466C" wp14:editId="55DD5953">
          <wp:simplePos x="0" y="0"/>
          <wp:positionH relativeFrom="column">
            <wp:posOffset>-187960</wp:posOffset>
          </wp:positionH>
          <wp:positionV relativeFrom="paragraph">
            <wp:posOffset>0</wp:posOffset>
          </wp:positionV>
          <wp:extent cx="7557770" cy="1458595"/>
          <wp:effectExtent l="0" t="0" r="0" b="8255"/>
          <wp:wrapSquare wrapText="bothSides"/>
          <wp:docPr id="3" name="Imagen 27" descr="C:\Users\lo\AppData\Local\Microsoft\Windows\INetCache\Content.Word\membret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AppData\Local\Microsoft\Windows\INetCache\Content.Word\membret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770" cy="1458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55F1B" w14:textId="77777777" w:rsidR="00F7207A" w:rsidRPr="008D6516" w:rsidRDefault="00F7207A" w:rsidP="008D6516">
    <w:pPr>
      <w:pStyle w:val="Encabezado"/>
      <w:ind w:left="-1701"/>
      <w:rPr>
        <w:sz w:val="16"/>
        <w:szCs w:val="16"/>
      </w:rPr>
    </w:pPr>
  </w:p>
  <w:tbl>
    <w:tblPr>
      <w:tblStyle w:val="Tablaconcuadrcula"/>
      <w:tblW w:w="102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4"/>
      <w:gridCol w:w="642"/>
    </w:tblGrid>
    <w:tr w:rsidR="00E3647C" w14:paraId="08D35A2E" w14:textId="77777777" w:rsidTr="00E3647C">
      <w:trPr>
        <w:jc w:val="center"/>
      </w:trPr>
      <w:tc>
        <w:tcPr>
          <w:tcW w:w="9662" w:type="dxa"/>
        </w:tcPr>
        <w:p w14:paraId="6C2E6280" w14:textId="58FD6876" w:rsidR="00E3647C" w:rsidRDefault="00727220" w:rsidP="00C75E10">
          <w:pPr>
            <w:pStyle w:val="Encabezado"/>
            <w:tabs>
              <w:tab w:val="clear" w:pos="8504"/>
              <w:tab w:val="left" w:pos="4956"/>
              <w:tab w:val="left" w:pos="5664"/>
            </w:tabs>
            <w:ind w:right="109"/>
            <w:jc w:val="center"/>
            <w:rPr>
              <w:sz w:val="16"/>
              <w:szCs w:val="16"/>
            </w:rPr>
          </w:pPr>
          <w:r w:rsidRPr="00727220">
            <w:rPr>
              <w:sz w:val="16"/>
              <w:szCs w:val="16"/>
              <w:lang w:val="fr-FR"/>
            </w:rPr>
            <w:t xml:space="preserve">N.G. Pérez-de-Eulate </w:t>
          </w:r>
          <w:r w:rsidR="00E3647C" w:rsidRPr="00727220">
            <w:rPr>
              <w:sz w:val="16"/>
              <w:szCs w:val="16"/>
              <w:lang w:val="fr-FR"/>
            </w:rPr>
            <w:t xml:space="preserve">et al./ </w:t>
          </w:r>
          <w:r w:rsidR="00E3647C" w:rsidRPr="00C75E10">
            <w:rPr>
              <w:i/>
              <w:sz w:val="16"/>
              <w:szCs w:val="16"/>
            </w:rPr>
            <w:t>Materiales Compuestos</w:t>
          </w:r>
          <w:r w:rsidR="00E3647C" w:rsidRPr="00F7207A">
            <w:rPr>
              <w:sz w:val="16"/>
              <w:szCs w:val="16"/>
            </w:rPr>
            <w:t xml:space="preserve"> </w:t>
          </w:r>
          <w:proofErr w:type="spellStart"/>
          <w:r w:rsidR="00C75E10">
            <w:rPr>
              <w:sz w:val="16"/>
              <w:szCs w:val="16"/>
            </w:rPr>
            <w:t>vol</w:t>
          </w:r>
          <w:proofErr w:type="spellEnd"/>
          <w:r w:rsidR="00C75E10">
            <w:rPr>
              <w:sz w:val="16"/>
              <w:szCs w:val="16"/>
            </w:rPr>
            <w:t xml:space="preserve"> </w:t>
          </w:r>
          <w:r w:rsidR="00C75E10" w:rsidRPr="00727220">
            <w:rPr>
              <w:sz w:val="16"/>
              <w:szCs w:val="16"/>
              <w:highlight w:val="yellow"/>
            </w:rPr>
            <w:t xml:space="preserve">12, </w:t>
          </w:r>
          <w:r w:rsidR="00E3647C" w:rsidRPr="00727220">
            <w:rPr>
              <w:sz w:val="16"/>
              <w:szCs w:val="16"/>
              <w:highlight w:val="yellow"/>
            </w:rPr>
            <w:t>4</w:t>
          </w:r>
          <w:r w:rsidR="00C75E10" w:rsidRPr="00727220">
            <w:rPr>
              <w:sz w:val="16"/>
              <w:szCs w:val="16"/>
              <w:highlight w:val="yellow"/>
            </w:rPr>
            <w:t>,</w:t>
          </w:r>
          <w:r w:rsidR="00E3647C" w:rsidRPr="00727220">
            <w:rPr>
              <w:sz w:val="16"/>
              <w:szCs w:val="16"/>
              <w:highlight w:val="yellow"/>
            </w:rPr>
            <w:t xml:space="preserve"> 1-4</w:t>
          </w:r>
        </w:p>
      </w:tc>
      <w:tc>
        <w:tcPr>
          <w:tcW w:w="634" w:type="dxa"/>
          <w:noWrap/>
          <w:tcMar>
            <w:right w:w="0" w:type="dxa"/>
          </w:tcMar>
        </w:tcPr>
        <w:sdt>
          <w:sdtPr>
            <w:id w:val="-1375763410"/>
            <w:docPartObj>
              <w:docPartGallery w:val="Page Numbers (Bottom of Page)"/>
              <w:docPartUnique/>
            </w:docPartObj>
          </w:sdtPr>
          <w:sdtEndPr>
            <w:rPr>
              <w:noProof/>
            </w:rPr>
          </w:sdtEndPr>
          <w:sdtContent>
            <w:p w14:paraId="4A85C495" w14:textId="77777777" w:rsidR="00E3647C" w:rsidRPr="00F7207A" w:rsidRDefault="00E3647C" w:rsidP="00F7207A">
              <w:pPr>
                <w:pStyle w:val="Piedepgina"/>
                <w:ind w:right="37"/>
                <w:jc w:val="right"/>
              </w:pPr>
              <w:r w:rsidRPr="00F7207A">
                <w:rPr>
                  <w:sz w:val="16"/>
                  <w:szCs w:val="16"/>
                </w:rPr>
                <w:fldChar w:fldCharType="begin"/>
              </w:r>
              <w:r w:rsidRPr="00F7207A">
                <w:rPr>
                  <w:sz w:val="16"/>
                  <w:szCs w:val="16"/>
                </w:rPr>
                <w:instrText xml:space="preserve"> PAGE   \* MERGEFORMAT </w:instrText>
              </w:r>
              <w:r w:rsidRPr="00F7207A">
                <w:rPr>
                  <w:sz w:val="16"/>
                  <w:szCs w:val="16"/>
                </w:rPr>
                <w:fldChar w:fldCharType="separate"/>
              </w:r>
              <w:r w:rsidR="006370D4">
                <w:rPr>
                  <w:noProof/>
                  <w:sz w:val="16"/>
                  <w:szCs w:val="16"/>
                </w:rPr>
                <w:t>2</w:t>
              </w:r>
              <w:r w:rsidRPr="00F7207A">
                <w:rPr>
                  <w:noProof/>
                  <w:sz w:val="16"/>
                  <w:szCs w:val="16"/>
                </w:rPr>
                <w:fldChar w:fldCharType="end"/>
              </w:r>
            </w:p>
          </w:sdtContent>
        </w:sdt>
      </w:tc>
    </w:tr>
  </w:tbl>
  <w:p w14:paraId="2F374638" w14:textId="77777777" w:rsidR="00500B8A" w:rsidRDefault="00500B8A" w:rsidP="00D350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270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A2577C"/>
    <w:multiLevelType w:val="hybridMultilevel"/>
    <w:tmpl w:val="90FCA552"/>
    <w:lvl w:ilvl="0" w:tplc="A59E2292">
      <w:start w:val="1"/>
      <w:numFmt w:val="upperLetter"/>
      <w:lvlText w:val="%1."/>
      <w:lvlJc w:val="left"/>
      <w:pPr>
        <w:ind w:left="-1341" w:hanging="360"/>
      </w:pPr>
      <w:rPr>
        <w:rFonts w:hint="default"/>
      </w:rPr>
    </w:lvl>
    <w:lvl w:ilvl="1" w:tplc="0C0A0019" w:tentative="1">
      <w:start w:val="1"/>
      <w:numFmt w:val="lowerLetter"/>
      <w:lvlText w:val="%2."/>
      <w:lvlJc w:val="left"/>
      <w:pPr>
        <w:ind w:left="-621" w:hanging="360"/>
      </w:pPr>
    </w:lvl>
    <w:lvl w:ilvl="2" w:tplc="0C0A001B" w:tentative="1">
      <w:start w:val="1"/>
      <w:numFmt w:val="lowerRoman"/>
      <w:lvlText w:val="%3."/>
      <w:lvlJc w:val="right"/>
      <w:pPr>
        <w:ind w:left="99" w:hanging="180"/>
      </w:pPr>
    </w:lvl>
    <w:lvl w:ilvl="3" w:tplc="0C0A000F" w:tentative="1">
      <w:start w:val="1"/>
      <w:numFmt w:val="decimal"/>
      <w:lvlText w:val="%4."/>
      <w:lvlJc w:val="left"/>
      <w:pPr>
        <w:ind w:left="819" w:hanging="360"/>
      </w:pPr>
    </w:lvl>
    <w:lvl w:ilvl="4" w:tplc="0C0A0019" w:tentative="1">
      <w:start w:val="1"/>
      <w:numFmt w:val="lowerLetter"/>
      <w:lvlText w:val="%5."/>
      <w:lvlJc w:val="left"/>
      <w:pPr>
        <w:ind w:left="1539" w:hanging="360"/>
      </w:pPr>
    </w:lvl>
    <w:lvl w:ilvl="5" w:tplc="0C0A001B" w:tentative="1">
      <w:start w:val="1"/>
      <w:numFmt w:val="lowerRoman"/>
      <w:lvlText w:val="%6."/>
      <w:lvlJc w:val="right"/>
      <w:pPr>
        <w:ind w:left="2259" w:hanging="180"/>
      </w:pPr>
    </w:lvl>
    <w:lvl w:ilvl="6" w:tplc="0C0A000F" w:tentative="1">
      <w:start w:val="1"/>
      <w:numFmt w:val="decimal"/>
      <w:lvlText w:val="%7."/>
      <w:lvlJc w:val="left"/>
      <w:pPr>
        <w:ind w:left="2979" w:hanging="360"/>
      </w:pPr>
    </w:lvl>
    <w:lvl w:ilvl="7" w:tplc="0C0A0019" w:tentative="1">
      <w:start w:val="1"/>
      <w:numFmt w:val="lowerLetter"/>
      <w:lvlText w:val="%8."/>
      <w:lvlJc w:val="left"/>
      <w:pPr>
        <w:ind w:left="3699" w:hanging="360"/>
      </w:pPr>
    </w:lvl>
    <w:lvl w:ilvl="8" w:tplc="0C0A001B" w:tentative="1">
      <w:start w:val="1"/>
      <w:numFmt w:val="lowerRoman"/>
      <w:lvlText w:val="%9."/>
      <w:lvlJc w:val="right"/>
      <w:pPr>
        <w:ind w:left="4419" w:hanging="180"/>
      </w:pPr>
    </w:lvl>
  </w:abstractNum>
  <w:abstractNum w:abstractNumId="2" w15:restartNumberingAfterBreak="0">
    <w:nsid w:val="050E1FDD"/>
    <w:multiLevelType w:val="multilevel"/>
    <w:tmpl w:val="0C0A001F"/>
    <w:lvl w:ilvl="0">
      <w:start w:val="1"/>
      <w:numFmt w:val="decimal"/>
      <w:lvlText w:val="%1."/>
      <w:lvlJc w:val="left"/>
      <w:pPr>
        <w:ind w:left="360" w:hanging="360"/>
      </w:pPr>
      <w:rPr>
        <w:rFonts w:hint="default"/>
        <w:sz w:val="22"/>
      </w:rPr>
    </w:lvl>
    <w:lvl w:ilvl="1">
      <w:start w:val="1"/>
      <w:numFmt w:val="decimal"/>
      <w:lvlText w:val="%1.%2."/>
      <w:lvlJc w:val="left"/>
      <w:pPr>
        <w:ind w:left="792" w:hanging="432"/>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54F4678"/>
    <w:multiLevelType w:val="hybridMultilevel"/>
    <w:tmpl w:val="393865C2"/>
    <w:lvl w:ilvl="0" w:tplc="09B48D9C">
      <w:start w:val="14"/>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BCC50CF"/>
    <w:multiLevelType w:val="hybridMultilevel"/>
    <w:tmpl w:val="59CAEE70"/>
    <w:lvl w:ilvl="0" w:tplc="C66E1510">
      <w:start w:val="1"/>
      <w:numFmt w:val="decimal"/>
      <w:lvlText w:val="%1."/>
      <w:lvlJc w:val="left"/>
      <w:pPr>
        <w:ind w:left="720" w:hanging="360"/>
      </w:pPr>
      <w:rPr>
        <w:rFonts w:hint="default"/>
        <w:color w:val="B6C9E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C3E1C72"/>
    <w:multiLevelType w:val="hybridMultilevel"/>
    <w:tmpl w:val="7FE4CA0E"/>
    <w:lvl w:ilvl="0" w:tplc="A67EE2B8">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73F62E5"/>
    <w:multiLevelType w:val="multilevel"/>
    <w:tmpl w:val="209C5FBC"/>
    <w:lvl w:ilvl="0">
      <w:start w:val="1"/>
      <w:numFmt w:val="decimal"/>
      <w:lvlText w:val="%1."/>
      <w:lvlJc w:val="left"/>
      <w:pPr>
        <w:ind w:left="360" w:hanging="360"/>
      </w:pPr>
    </w:lvl>
    <w:lvl w:ilvl="1">
      <w:start w:val="1"/>
      <w:numFmt w:val="decimal"/>
      <w:lvlText w:val="%1.%2."/>
      <w:lvlJc w:val="left"/>
      <w:pPr>
        <w:ind w:left="792" w:hanging="432"/>
      </w:pPr>
      <w:rPr>
        <w:color w:val="BDD6EE" w:themeColor="accent1" w:themeTint="6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62B3B34"/>
    <w:multiLevelType w:val="hybridMultilevel"/>
    <w:tmpl w:val="85745782"/>
    <w:lvl w:ilvl="0" w:tplc="BE5EAC32">
      <w:start w:val="1"/>
      <w:numFmt w:val="upperLetter"/>
      <w:lvlText w:val="%1."/>
      <w:lvlJc w:val="left"/>
      <w:pPr>
        <w:ind w:left="-1341" w:hanging="360"/>
      </w:pPr>
      <w:rPr>
        <w:rFonts w:hint="default"/>
      </w:rPr>
    </w:lvl>
    <w:lvl w:ilvl="1" w:tplc="0C0A0019" w:tentative="1">
      <w:start w:val="1"/>
      <w:numFmt w:val="lowerLetter"/>
      <w:lvlText w:val="%2."/>
      <w:lvlJc w:val="left"/>
      <w:pPr>
        <w:ind w:left="-621" w:hanging="360"/>
      </w:pPr>
    </w:lvl>
    <w:lvl w:ilvl="2" w:tplc="0C0A001B" w:tentative="1">
      <w:start w:val="1"/>
      <w:numFmt w:val="lowerRoman"/>
      <w:lvlText w:val="%3."/>
      <w:lvlJc w:val="right"/>
      <w:pPr>
        <w:ind w:left="99" w:hanging="180"/>
      </w:pPr>
    </w:lvl>
    <w:lvl w:ilvl="3" w:tplc="0C0A000F" w:tentative="1">
      <w:start w:val="1"/>
      <w:numFmt w:val="decimal"/>
      <w:lvlText w:val="%4."/>
      <w:lvlJc w:val="left"/>
      <w:pPr>
        <w:ind w:left="819" w:hanging="360"/>
      </w:pPr>
    </w:lvl>
    <w:lvl w:ilvl="4" w:tplc="0C0A0019" w:tentative="1">
      <w:start w:val="1"/>
      <w:numFmt w:val="lowerLetter"/>
      <w:lvlText w:val="%5."/>
      <w:lvlJc w:val="left"/>
      <w:pPr>
        <w:ind w:left="1539" w:hanging="360"/>
      </w:pPr>
    </w:lvl>
    <w:lvl w:ilvl="5" w:tplc="0C0A001B" w:tentative="1">
      <w:start w:val="1"/>
      <w:numFmt w:val="lowerRoman"/>
      <w:lvlText w:val="%6."/>
      <w:lvlJc w:val="right"/>
      <w:pPr>
        <w:ind w:left="2259" w:hanging="180"/>
      </w:pPr>
    </w:lvl>
    <w:lvl w:ilvl="6" w:tplc="0C0A000F" w:tentative="1">
      <w:start w:val="1"/>
      <w:numFmt w:val="decimal"/>
      <w:lvlText w:val="%7."/>
      <w:lvlJc w:val="left"/>
      <w:pPr>
        <w:ind w:left="2979" w:hanging="360"/>
      </w:pPr>
    </w:lvl>
    <w:lvl w:ilvl="7" w:tplc="0C0A0019" w:tentative="1">
      <w:start w:val="1"/>
      <w:numFmt w:val="lowerLetter"/>
      <w:lvlText w:val="%8."/>
      <w:lvlJc w:val="left"/>
      <w:pPr>
        <w:ind w:left="3699" w:hanging="360"/>
      </w:pPr>
    </w:lvl>
    <w:lvl w:ilvl="8" w:tplc="0C0A001B" w:tentative="1">
      <w:start w:val="1"/>
      <w:numFmt w:val="lowerRoman"/>
      <w:lvlText w:val="%9."/>
      <w:lvlJc w:val="right"/>
      <w:pPr>
        <w:ind w:left="4419" w:hanging="180"/>
      </w:pPr>
    </w:lvl>
  </w:abstractNum>
  <w:abstractNum w:abstractNumId="8" w15:restartNumberingAfterBreak="0">
    <w:nsid w:val="3F0607A6"/>
    <w:multiLevelType w:val="hybridMultilevel"/>
    <w:tmpl w:val="9B0E18D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F556805"/>
    <w:multiLevelType w:val="hybridMultilevel"/>
    <w:tmpl w:val="C364691A"/>
    <w:lvl w:ilvl="0" w:tplc="42EA88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4EA1228"/>
    <w:multiLevelType w:val="multilevel"/>
    <w:tmpl w:val="2CF083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75D79F5"/>
    <w:multiLevelType w:val="multilevel"/>
    <w:tmpl w:val="052223F0"/>
    <w:lvl w:ilvl="0">
      <w:start w:val="1"/>
      <w:numFmt w:val="decimal"/>
      <w:pStyle w:val="Ttulo1"/>
      <w:lvlText w:val="%1"/>
      <w:lvlJc w:val="left"/>
      <w:pPr>
        <w:ind w:left="432" w:hanging="432"/>
      </w:pPr>
      <w:rPr>
        <w:b w:val="0"/>
        <w:bCs w:val="0"/>
        <w:i w:val="0"/>
        <w:iCs w:val="0"/>
        <w:caps w:val="0"/>
        <w:smallCaps w:val="0"/>
        <w:strike w:val="0"/>
        <w:dstrike w:val="0"/>
        <w:noProof w:val="0"/>
        <w:vanish w:val="0"/>
        <w:color w:val="3075BA"/>
        <w:spacing w:val="0"/>
        <w:kern w:val="0"/>
        <w:position w:val="0"/>
        <w:u w:val="none"/>
        <w:effect w:val="none"/>
        <w:vertAlign w:val="baseline"/>
        <w:em w:val="none"/>
        <w:lang w:val="es-E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718" w:hanging="576"/>
      </w:pPr>
      <w:rPr>
        <w:b/>
        <w:bCs w:val="0"/>
        <w:i w:val="0"/>
        <w:iCs w:val="0"/>
        <w:caps w:val="0"/>
        <w:smallCaps w:val="0"/>
        <w:strike w:val="0"/>
        <w:dstrike w:val="0"/>
        <w:noProof w:val="0"/>
        <w:vanish w:val="0"/>
        <w:color w:val="3075BA"/>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rPr>
        <w:color w:val="3075BA"/>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15:restartNumberingAfterBreak="0">
    <w:nsid w:val="53D01E87"/>
    <w:multiLevelType w:val="hybridMultilevel"/>
    <w:tmpl w:val="9B42CBB2"/>
    <w:lvl w:ilvl="0" w:tplc="58D0BAA6">
      <w:start w:val="9"/>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C48651B"/>
    <w:multiLevelType w:val="hybridMultilevel"/>
    <w:tmpl w:val="7EB2D448"/>
    <w:lvl w:ilvl="0" w:tplc="4C84B27A">
      <w:start w:val="1"/>
      <w:numFmt w:val="decimal"/>
      <w:lvlText w:val="2.%1."/>
      <w:lvlJc w:val="left"/>
      <w:pPr>
        <w:ind w:left="720" w:hanging="360"/>
      </w:pPr>
      <w:rPr>
        <w:rFonts w:hint="default"/>
        <w:color w:val="B6C9E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78B73DB"/>
    <w:multiLevelType w:val="multilevel"/>
    <w:tmpl w:val="5E6E0424"/>
    <w:lvl w:ilvl="0">
      <w:start w:val="1"/>
      <w:numFmt w:val="decimal"/>
      <w:lvlText w:val="%1."/>
      <w:lvlJc w:val="left"/>
      <w:pPr>
        <w:ind w:left="360" w:hanging="360"/>
      </w:pPr>
      <w:rPr>
        <w:color w:val="BBCBE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3205806">
    <w:abstractNumId w:val="7"/>
  </w:num>
  <w:num w:numId="2" w16cid:durableId="919103375">
    <w:abstractNumId w:val="1"/>
  </w:num>
  <w:num w:numId="3" w16cid:durableId="98067031">
    <w:abstractNumId w:val="4"/>
  </w:num>
  <w:num w:numId="4" w16cid:durableId="1770468304">
    <w:abstractNumId w:val="13"/>
  </w:num>
  <w:num w:numId="5" w16cid:durableId="1923681927">
    <w:abstractNumId w:val="14"/>
  </w:num>
  <w:num w:numId="6" w16cid:durableId="1213342394">
    <w:abstractNumId w:val="6"/>
  </w:num>
  <w:num w:numId="7" w16cid:durableId="749892264">
    <w:abstractNumId w:val="5"/>
  </w:num>
  <w:num w:numId="8" w16cid:durableId="288171305">
    <w:abstractNumId w:val="0"/>
  </w:num>
  <w:num w:numId="9" w16cid:durableId="1130712038">
    <w:abstractNumId w:val="10"/>
  </w:num>
  <w:num w:numId="10" w16cid:durableId="690954918">
    <w:abstractNumId w:val="11"/>
  </w:num>
  <w:num w:numId="11" w16cid:durableId="2035687642">
    <w:abstractNumId w:val="3"/>
  </w:num>
  <w:num w:numId="12" w16cid:durableId="1722093309">
    <w:abstractNumId w:val="11"/>
  </w:num>
  <w:num w:numId="13" w16cid:durableId="375396818">
    <w:abstractNumId w:val="2"/>
  </w:num>
  <w:num w:numId="14" w16cid:durableId="375394425">
    <w:abstractNumId w:val="11"/>
  </w:num>
  <w:num w:numId="15" w16cid:durableId="709379760">
    <w:abstractNumId w:val="11"/>
  </w:num>
  <w:num w:numId="16" w16cid:durableId="318854164">
    <w:abstractNumId w:val="11"/>
  </w:num>
  <w:num w:numId="17" w16cid:durableId="465784921">
    <w:abstractNumId w:val="11"/>
  </w:num>
  <w:num w:numId="18" w16cid:durableId="153420335">
    <w:abstractNumId w:val="11"/>
  </w:num>
  <w:num w:numId="19" w16cid:durableId="1454978200">
    <w:abstractNumId w:val="11"/>
  </w:num>
  <w:num w:numId="20" w16cid:durableId="596211905">
    <w:abstractNumId w:val="11"/>
  </w:num>
  <w:num w:numId="21" w16cid:durableId="769663896">
    <w:abstractNumId w:val="11"/>
  </w:num>
  <w:num w:numId="22" w16cid:durableId="562832640">
    <w:abstractNumId w:val="11"/>
  </w:num>
  <w:num w:numId="23" w16cid:durableId="1685278963">
    <w:abstractNumId w:val="12"/>
  </w:num>
  <w:num w:numId="24" w16cid:durableId="2093621628">
    <w:abstractNumId w:val="9"/>
  </w:num>
  <w:num w:numId="25" w16cid:durableId="15807465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U3MrcEYiMjQyNDEyUdpeDU4uLM/DyQAkPDWgCtcLXYLQAAAA=="/>
  </w:docVars>
  <w:rsids>
    <w:rsidRoot w:val="002523FA"/>
    <w:rsid w:val="0000578E"/>
    <w:rsid w:val="00031686"/>
    <w:rsid w:val="00045F4E"/>
    <w:rsid w:val="00051FCD"/>
    <w:rsid w:val="00052CE0"/>
    <w:rsid w:val="00080115"/>
    <w:rsid w:val="000A7D14"/>
    <w:rsid w:val="000F5FBA"/>
    <w:rsid w:val="00132F3B"/>
    <w:rsid w:val="00156A3C"/>
    <w:rsid w:val="00195884"/>
    <w:rsid w:val="001A62A7"/>
    <w:rsid w:val="001D01FE"/>
    <w:rsid w:val="00211CD9"/>
    <w:rsid w:val="00226EEB"/>
    <w:rsid w:val="002314C7"/>
    <w:rsid w:val="00246493"/>
    <w:rsid w:val="00247E86"/>
    <w:rsid w:val="002523FA"/>
    <w:rsid w:val="00266979"/>
    <w:rsid w:val="00274C9A"/>
    <w:rsid w:val="002F719F"/>
    <w:rsid w:val="00310BAA"/>
    <w:rsid w:val="0032288D"/>
    <w:rsid w:val="00352651"/>
    <w:rsid w:val="003671F7"/>
    <w:rsid w:val="00386B36"/>
    <w:rsid w:val="003B4307"/>
    <w:rsid w:val="003D4F12"/>
    <w:rsid w:val="003E4B47"/>
    <w:rsid w:val="003E685B"/>
    <w:rsid w:val="00433659"/>
    <w:rsid w:val="00486C73"/>
    <w:rsid w:val="004972D0"/>
    <w:rsid w:val="004C78D2"/>
    <w:rsid w:val="00500B8A"/>
    <w:rsid w:val="005046BC"/>
    <w:rsid w:val="005066DE"/>
    <w:rsid w:val="005D5D6A"/>
    <w:rsid w:val="00636204"/>
    <w:rsid w:val="00636542"/>
    <w:rsid w:val="006370D4"/>
    <w:rsid w:val="00646901"/>
    <w:rsid w:val="0067627B"/>
    <w:rsid w:val="00694B32"/>
    <w:rsid w:val="006B2324"/>
    <w:rsid w:val="006D2E8C"/>
    <w:rsid w:val="006E15DA"/>
    <w:rsid w:val="006E5A47"/>
    <w:rsid w:val="006E71BF"/>
    <w:rsid w:val="00701B61"/>
    <w:rsid w:val="0072467E"/>
    <w:rsid w:val="00726DFA"/>
    <w:rsid w:val="00727220"/>
    <w:rsid w:val="00747DBA"/>
    <w:rsid w:val="007B69B1"/>
    <w:rsid w:val="007D0D18"/>
    <w:rsid w:val="007F6E1A"/>
    <w:rsid w:val="00827EA2"/>
    <w:rsid w:val="00833F5C"/>
    <w:rsid w:val="00842DCD"/>
    <w:rsid w:val="0086121B"/>
    <w:rsid w:val="00874199"/>
    <w:rsid w:val="0088229D"/>
    <w:rsid w:val="00882B5D"/>
    <w:rsid w:val="0089141C"/>
    <w:rsid w:val="00896615"/>
    <w:rsid w:val="008C075A"/>
    <w:rsid w:val="008C5E07"/>
    <w:rsid w:val="008C6DE5"/>
    <w:rsid w:val="008D6516"/>
    <w:rsid w:val="008E0929"/>
    <w:rsid w:val="008E39D0"/>
    <w:rsid w:val="008E5089"/>
    <w:rsid w:val="0091047C"/>
    <w:rsid w:val="00960BA6"/>
    <w:rsid w:val="0098336B"/>
    <w:rsid w:val="009C40E5"/>
    <w:rsid w:val="009E219B"/>
    <w:rsid w:val="00A17D9E"/>
    <w:rsid w:val="00A32C0B"/>
    <w:rsid w:val="00A6403E"/>
    <w:rsid w:val="00A73F61"/>
    <w:rsid w:val="00AA16D8"/>
    <w:rsid w:val="00AC63FA"/>
    <w:rsid w:val="00AD465B"/>
    <w:rsid w:val="00AE00E2"/>
    <w:rsid w:val="00AE1055"/>
    <w:rsid w:val="00AE158B"/>
    <w:rsid w:val="00B42B10"/>
    <w:rsid w:val="00B7288F"/>
    <w:rsid w:val="00B9338F"/>
    <w:rsid w:val="00BA2B77"/>
    <w:rsid w:val="00BF1B1F"/>
    <w:rsid w:val="00C02A5E"/>
    <w:rsid w:val="00C4416D"/>
    <w:rsid w:val="00C6390F"/>
    <w:rsid w:val="00C75E10"/>
    <w:rsid w:val="00C953D5"/>
    <w:rsid w:val="00CA32CA"/>
    <w:rsid w:val="00CC5268"/>
    <w:rsid w:val="00CE7573"/>
    <w:rsid w:val="00D00730"/>
    <w:rsid w:val="00D35093"/>
    <w:rsid w:val="00DA5D0B"/>
    <w:rsid w:val="00DD6BD8"/>
    <w:rsid w:val="00DE2C58"/>
    <w:rsid w:val="00DF6B72"/>
    <w:rsid w:val="00E330E7"/>
    <w:rsid w:val="00E3647C"/>
    <w:rsid w:val="00E47BD8"/>
    <w:rsid w:val="00E5344E"/>
    <w:rsid w:val="00E867F4"/>
    <w:rsid w:val="00E96DDC"/>
    <w:rsid w:val="00F00C4B"/>
    <w:rsid w:val="00F1528A"/>
    <w:rsid w:val="00F27178"/>
    <w:rsid w:val="00F52BF8"/>
    <w:rsid w:val="00F575C1"/>
    <w:rsid w:val="00F6689C"/>
    <w:rsid w:val="00F7207A"/>
    <w:rsid w:val="00FA64E1"/>
    <w:rsid w:val="00FA7C28"/>
    <w:rsid w:val="00FC3791"/>
    <w:rsid w:val="00FC60AB"/>
    <w:rsid w:val="00FD2858"/>
    <w:rsid w:val="00FF18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6E0D6"/>
  <w15:docId w15:val="{A6F0B107-70C3-45C2-965A-4DE58CFB5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6DE"/>
    <w:pPr>
      <w:spacing w:before="120" w:after="120"/>
      <w:jc w:val="both"/>
    </w:pPr>
    <w:rPr>
      <w:rFonts w:ascii="Arial" w:hAnsi="Arial"/>
      <w:sz w:val="18"/>
    </w:rPr>
  </w:style>
  <w:style w:type="paragraph" w:styleId="Ttulo1">
    <w:name w:val="heading 1"/>
    <w:basedOn w:val="Normal"/>
    <w:next w:val="Normal"/>
    <w:link w:val="Ttulo1Car"/>
    <w:uiPriority w:val="9"/>
    <w:qFormat/>
    <w:rsid w:val="009C40E5"/>
    <w:pPr>
      <w:keepNext/>
      <w:keepLines/>
      <w:numPr>
        <w:numId w:val="10"/>
      </w:numPr>
      <w:spacing w:before="360" w:after="180"/>
      <w:outlineLvl w:val="0"/>
    </w:pPr>
    <w:rPr>
      <w:rFonts w:eastAsiaTheme="majorEastAsia" w:cs="Arial"/>
      <w:b/>
      <w:bCs/>
      <w:noProof/>
      <w:color w:val="2E435C"/>
      <w:sz w:val="26"/>
      <w:szCs w:val="26"/>
      <w:lang w:val="en-US"/>
    </w:rPr>
  </w:style>
  <w:style w:type="paragraph" w:styleId="Ttulo2">
    <w:name w:val="heading 2"/>
    <w:basedOn w:val="Normal"/>
    <w:next w:val="Normal"/>
    <w:link w:val="Ttulo2Car"/>
    <w:uiPriority w:val="9"/>
    <w:unhideWhenUsed/>
    <w:qFormat/>
    <w:rsid w:val="00FF18A5"/>
    <w:pPr>
      <w:keepNext/>
      <w:keepLines/>
      <w:numPr>
        <w:ilvl w:val="1"/>
        <w:numId w:val="10"/>
      </w:numPr>
      <w:spacing w:before="200" w:after="60"/>
      <w:jc w:val="left"/>
      <w:outlineLvl w:val="1"/>
    </w:pPr>
    <w:rPr>
      <w:rFonts w:eastAsiaTheme="majorEastAsia" w:cs="Arial"/>
      <w:b/>
      <w:bCs/>
      <w:color w:val="2E435C"/>
      <w:sz w:val="22"/>
      <w:lang w:val="en-US"/>
    </w:rPr>
  </w:style>
  <w:style w:type="paragraph" w:styleId="Ttulo3">
    <w:name w:val="heading 3"/>
    <w:basedOn w:val="Normal"/>
    <w:next w:val="Normal"/>
    <w:link w:val="Ttulo3Car"/>
    <w:uiPriority w:val="9"/>
    <w:unhideWhenUsed/>
    <w:qFormat/>
    <w:rsid w:val="00636204"/>
    <w:pPr>
      <w:keepNext/>
      <w:keepLines/>
      <w:numPr>
        <w:ilvl w:val="2"/>
        <w:numId w:val="10"/>
      </w:numPr>
      <w:spacing w:before="200"/>
      <w:outlineLvl w:val="2"/>
    </w:pPr>
    <w:rPr>
      <w:rFonts w:asciiTheme="majorHAnsi" w:eastAsiaTheme="majorEastAsia" w:hAnsiTheme="majorHAnsi" w:cstheme="majorBidi"/>
      <w:b/>
      <w:bCs/>
      <w:i/>
      <w:noProof/>
      <w:color w:val="2E435C"/>
    </w:rPr>
  </w:style>
  <w:style w:type="paragraph" w:styleId="Ttulo4">
    <w:name w:val="heading 4"/>
    <w:basedOn w:val="Normal"/>
    <w:next w:val="Normal"/>
    <w:link w:val="Ttulo4Car"/>
    <w:uiPriority w:val="9"/>
    <w:semiHidden/>
    <w:unhideWhenUsed/>
    <w:qFormat/>
    <w:rsid w:val="00FA7C28"/>
    <w:pPr>
      <w:keepNext/>
      <w:keepLines/>
      <w:numPr>
        <w:ilvl w:val="3"/>
        <w:numId w:val="10"/>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FA7C28"/>
    <w:pPr>
      <w:keepNext/>
      <w:keepLines/>
      <w:numPr>
        <w:ilvl w:val="4"/>
        <w:numId w:val="10"/>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FA7C28"/>
    <w:pPr>
      <w:keepNext/>
      <w:keepLines/>
      <w:numPr>
        <w:ilvl w:val="5"/>
        <w:numId w:val="10"/>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FA7C2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A7C28"/>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FA7C2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23FA"/>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523FA"/>
  </w:style>
  <w:style w:type="paragraph" w:styleId="Piedepgina">
    <w:name w:val="footer"/>
    <w:basedOn w:val="Normal"/>
    <w:link w:val="PiedepginaCar"/>
    <w:uiPriority w:val="99"/>
    <w:unhideWhenUsed/>
    <w:rsid w:val="002523FA"/>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523FA"/>
  </w:style>
  <w:style w:type="character" w:styleId="Hipervnculo">
    <w:name w:val="Hyperlink"/>
    <w:basedOn w:val="Fuentedeprrafopredeter"/>
    <w:uiPriority w:val="99"/>
    <w:unhideWhenUsed/>
    <w:rsid w:val="002523FA"/>
    <w:rPr>
      <w:color w:val="0563C1" w:themeColor="hyperlink"/>
      <w:u w:val="single"/>
    </w:rPr>
  </w:style>
  <w:style w:type="table" w:styleId="Tablaconcuadrcula">
    <w:name w:val="Table Grid"/>
    <w:basedOn w:val="Tablanormal"/>
    <w:uiPriority w:val="59"/>
    <w:rsid w:val="00983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C40E5"/>
    <w:rPr>
      <w:rFonts w:ascii="Arial" w:eastAsiaTheme="majorEastAsia" w:hAnsi="Arial" w:cs="Arial"/>
      <w:b/>
      <w:bCs/>
      <w:noProof/>
      <w:color w:val="2E435C"/>
      <w:sz w:val="26"/>
      <w:szCs w:val="26"/>
      <w:lang w:val="en-US"/>
    </w:rPr>
  </w:style>
  <w:style w:type="character" w:customStyle="1" w:styleId="Ttulo2Car">
    <w:name w:val="Título 2 Car"/>
    <w:basedOn w:val="Fuentedeprrafopredeter"/>
    <w:link w:val="Ttulo2"/>
    <w:uiPriority w:val="9"/>
    <w:rsid w:val="00FF18A5"/>
    <w:rPr>
      <w:rFonts w:ascii="Arial" w:eastAsiaTheme="majorEastAsia" w:hAnsi="Arial" w:cs="Arial"/>
      <w:b/>
      <w:bCs/>
      <w:color w:val="2E435C"/>
      <w:lang w:val="en-US"/>
    </w:rPr>
  </w:style>
  <w:style w:type="character" w:customStyle="1" w:styleId="Ttulo3Car">
    <w:name w:val="Título 3 Car"/>
    <w:basedOn w:val="Fuentedeprrafopredeter"/>
    <w:link w:val="Ttulo3"/>
    <w:uiPriority w:val="9"/>
    <w:rsid w:val="00636204"/>
    <w:rPr>
      <w:rFonts w:asciiTheme="majorHAnsi" w:eastAsiaTheme="majorEastAsia" w:hAnsiTheme="majorHAnsi" w:cstheme="majorBidi"/>
      <w:b/>
      <w:bCs/>
      <w:i/>
      <w:noProof/>
      <w:color w:val="2E435C"/>
      <w:sz w:val="18"/>
    </w:rPr>
  </w:style>
  <w:style w:type="paragraph" w:styleId="Textodeglobo">
    <w:name w:val="Balloon Text"/>
    <w:basedOn w:val="Normal"/>
    <w:link w:val="TextodegloboCar"/>
    <w:uiPriority w:val="99"/>
    <w:semiHidden/>
    <w:unhideWhenUsed/>
    <w:rsid w:val="00694B3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4B32"/>
    <w:rPr>
      <w:rFonts w:ascii="Tahoma" w:hAnsi="Tahoma" w:cs="Tahoma"/>
      <w:sz w:val="16"/>
      <w:szCs w:val="16"/>
    </w:rPr>
  </w:style>
  <w:style w:type="paragraph" w:customStyle="1" w:styleId="Resumen-Abstract">
    <w:name w:val="Resumen-Abstract"/>
    <w:basedOn w:val="Normal"/>
    <w:link w:val="Resumen-AbstractChar"/>
    <w:qFormat/>
    <w:rsid w:val="00F27178"/>
    <w:pPr>
      <w:ind w:left="170" w:right="-113"/>
    </w:pPr>
    <w:rPr>
      <w:noProof/>
      <w:sz w:val="16"/>
      <w:szCs w:val="16"/>
      <w:lang w:val="en-US"/>
    </w:rPr>
  </w:style>
  <w:style w:type="paragraph" w:customStyle="1" w:styleId="Nombres">
    <w:name w:val="Nombres"/>
    <w:link w:val="NombresChar"/>
    <w:qFormat/>
    <w:rsid w:val="005066DE"/>
    <w:pPr>
      <w:spacing w:after="60"/>
      <w:ind w:left="2694" w:right="2833"/>
      <w:jc w:val="center"/>
    </w:pPr>
    <w:rPr>
      <w:rFonts w:ascii="Arial" w:hAnsi="Arial"/>
      <w:noProof/>
    </w:rPr>
  </w:style>
  <w:style w:type="character" w:customStyle="1" w:styleId="Resumen-AbstractChar">
    <w:name w:val="Resumen-Abstract Char"/>
    <w:basedOn w:val="Fuentedeprrafopredeter"/>
    <w:link w:val="Resumen-Abstract"/>
    <w:rsid w:val="00F27178"/>
    <w:rPr>
      <w:rFonts w:ascii="Arial" w:hAnsi="Arial"/>
      <w:noProof/>
      <w:sz w:val="16"/>
      <w:szCs w:val="16"/>
      <w:lang w:val="en-US"/>
    </w:rPr>
  </w:style>
  <w:style w:type="paragraph" w:customStyle="1" w:styleId="Afiliacin">
    <w:name w:val="Afiliación"/>
    <w:link w:val="AfiliacinChar"/>
    <w:qFormat/>
    <w:rsid w:val="00646901"/>
    <w:pPr>
      <w:spacing w:after="0"/>
      <w:jc w:val="center"/>
    </w:pPr>
    <w:rPr>
      <w:rFonts w:ascii="Arial" w:hAnsi="Arial"/>
      <w:noProof/>
      <w:sz w:val="14"/>
      <w:szCs w:val="14"/>
      <w:lang w:val="en-US"/>
    </w:rPr>
  </w:style>
  <w:style w:type="character" w:customStyle="1" w:styleId="NombresChar">
    <w:name w:val="Nombres Char"/>
    <w:basedOn w:val="Fuentedeprrafopredeter"/>
    <w:link w:val="Nombres"/>
    <w:rsid w:val="005066DE"/>
    <w:rPr>
      <w:rFonts w:ascii="Arial" w:hAnsi="Arial"/>
      <w:noProof/>
    </w:rPr>
  </w:style>
  <w:style w:type="paragraph" w:styleId="Ttulo">
    <w:name w:val="Title"/>
    <w:next w:val="Normal"/>
    <w:link w:val="TtuloCar"/>
    <w:uiPriority w:val="10"/>
    <w:qFormat/>
    <w:rsid w:val="005066DE"/>
    <w:pPr>
      <w:spacing w:before="320" w:after="100" w:line="240" w:lineRule="auto"/>
      <w:ind w:left="-113" w:right="-102"/>
      <w:jc w:val="center"/>
    </w:pPr>
    <w:rPr>
      <w:rFonts w:ascii="Arial" w:hAnsi="Arial"/>
      <w:noProof/>
      <w:sz w:val="32"/>
      <w:szCs w:val="32"/>
      <w:lang w:val="en-US"/>
    </w:rPr>
  </w:style>
  <w:style w:type="character" w:customStyle="1" w:styleId="AfiliacinChar">
    <w:name w:val="Afiliación Char"/>
    <w:basedOn w:val="NombresChar"/>
    <w:link w:val="Afiliacin"/>
    <w:rsid w:val="00646901"/>
    <w:rPr>
      <w:rFonts w:ascii="Arial" w:hAnsi="Arial"/>
      <w:noProof/>
      <w:sz w:val="14"/>
      <w:szCs w:val="14"/>
    </w:rPr>
  </w:style>
  <w:style w:type="character" w:customStyle="1" w:styleId="TtuloCar">
    <w:name w:val="Título Car"/>
    <w:basedOn w:val="Fuentedeprrafopredeter"/>
    <w:link w:val="Ttulo"/>
    <w:uiPriority w:val="10"/>
    <w:rsid w:val="005066DE"/>
    <w:rPr>
      <w:rFonts w:ascii="Arial" w:hAnsi="Arial"/>
      <w:noProof/>
      <w:sz w:val="32"/>
      <w:szCs w:val="32"/>
      <w:lang w:val="en-US"/>
    </w:rPr>
  </w:style>
  <w:style w:type="paragraph" w:styleId="Prrafodelista">
    <w:name w:val="List Paragraph"/>
    <w:basedOn w:val="Normal"/>
    <w:uiPriority w:val="34"/>
    <w:qFormat/>
    <w:rsid w:val="00646901"/>
    <w:pPr>
      <w:ind w:left="720"/>
      <w:contextualSpacing/>
    </w:pPr>
  </w:style>
  <w:style w:type="paragraph" w:customStyle="1" w:styleId="Keywords">
    <w:name w:val="Keywords"/>
    <w:link w:val="KeywordsChar"/>
    <w:qFormat/>
    <w:rsid w:val="00646901"/>
    <w:pPr>
      <w:spacing w:after="40" w:line="240" w:lineRule="auto"/>
      <w:ind w:left="-108" w:right="567"/>
    </w:pPr>
    <w:rPr>
      <w:rFonts w:ascii="Arial" w:hAnsi="Arial"/>
      <w:noProof/>
      <w:sz w:val="14"/>
      <w:szCs w:val="14"/>
      <w:lang w:val="en-US"/>
    </w:rPr>
  </w:style>
  <w:style w:type="character" w:customStyle="1" w:styleId="KeywordsChar">
    <w:name w:val="Keywords Char"/>
    <w:basedOn w:val="Fuentedeprrafopredeter"/>
    <w:link w:val="Keywords"/>
    <w:rsid w:val="00646901"/>
    <w:rPr>
      <w:rFonts w:ascii="Arial" w:hAnsi="Arial"/>
      <w:noProof/>
      <w:sz w:val="14"/>
      <w:szCs w:val="14"/>
      <w:lang w:val="en-US"/>
    </w:rPr>
  </w:style>
  <w:style w:type="character" w:customStyle="1" w:styleId="Ttulo4Car">
    <w:name w:val="Título 4 Car"/>
    <w:basedOn w:val="Fuentedeprrafopredeter"/>
    <w:link w:val="Ttulo4"/>
    <w:uiPriority w:val="9"/>
    <w:semiHidden/>
    <w:rsid w:val="00FA7C28"/>
    <w:rPr>
      <w:rFonts w:asciiTheme="majorHAnsi" w:eastAsiaTheme="majorEastAsia" w:hAnsiTheme="majorHAnsi" w:cstheme="majorBidi"/>
      <w:b/>
      <w:bCs/>
      <w:i/>
      <w:iCs/>
      <w:color w:val="5B9BD5" w:themeColor="accent1"/>
      <w:sz w:val="18"/>
    </w:rPr>
  </w:style>
  <w:style w:type="character" w:customStyle="1" w:styleId="Ttulo5Car">
    <w:name w:val="Título 5 Car"/>
    <w:basedOn w:val="Fuentedeprrafopredeter"/>
    <w:link w:val="Ttulo5"/>
    <w:uiPriority w:val="9"/>
    <w:semiHidden/>
    <w:rsid w:val="00FA7C28"/>
    <w:rPr>
      <w:rFonts w:asciiTheme="majorHAnsi" w:eastAsiaTheme="majorEastAsia" w:hAnsiTheme="majorHAnsi" w:cstheme="majorBidi"/>
      <w:color w:val="1F4D78" w:themeColor="accent1" w:themeShade="7F"/>
      <w:sz w:val="18"/>
    </w:rPr>
  </w:style>
  <w:style w:type="character" w:customStyle="1" w:styleId="Ttulo6Car">
    <w:name w:val="Título 6 Car"/>
    <w:basedOn w:val="Fuentedeprrafopredeter"/>
    <w:link w:val="Ttulo6"/>
    <w:uiPriority w:val="9"/>
    <w:semiHidden/>
    <w:rsid w:val="00FA7C28"/>
    <w:rPr>
      <w:rFonts w:asciiTheme="majorHAnsi" w:eastAsiaTheme="majorEastAsia" w:hAnsiTheme="majorHAnsi" w:cstheme="majorBidi"/>
      <w:i/>
      <w:iCs/>
      <w:color w:val="1F4D78" w:themeColor="accent1" w:themeShade="7F"/>
      <w:sz w:val="18"/>
    </w:rPr>
  </w:style>
  <w:style w:type="character" w:customStyle="1" w:styleId="Ttulo7Car">
    <w:name w:val="Título 7 Car"/>
    <w:basedOn w:val="Fuentedeprrafopredeter"/>
    <w:link w:val="Ttulo7"/>
    <w:uiPriority w:val="9"/>
    <w:semiHidden/>
    <w:rsid w:val="00FA7C28"/>
    <w:rPr>
      <w:rFonts w:asciiTheme="majorHAnsi" w:eastAsiaTheme="majorEastAsia" w:hAnsiTheme="majorHAnsi" w:cstheme="majorBidi"/>
      <w:i/>
      <w:iCs/>
      <w:color w:val="404040" w:themeColor="text1" w:themeTint="BF"/>
      <w:sz w:val="18"/>
    </w:rPr>
  </w:style>
  <w:style w:type="character" w:customStyle="1" w:styleId="Ttulo8Car">
    <w:name w:val="Título 8 Car"/>
    <w:basedOn w:val="Fuentedeprrafopredeter"/>
    <w:link w:val="Ttulo8"/>
    <w:uiPriority w:val="9"/>
    <w:semiHidden/>
    <w:rsid w:val="00FA7C2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FA7C28"/>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nhideWhenUsed/>
    <w:qFormat/>
    <w:rsid w:val="00433659"/>
    <w:pPr>
      <w:spacing w:before="0" w:after="200" w:line="240" w:lineRule="auto"/>
    </w:pPr>
    <w:rPr>
      <w:b/>
      <w:bCs/>
      <w:color w:val="5B9BD5" w:themeColor="accent1"/>
      <w:szCs w:val="18"/>
    </w:rPr>
  </w:style>
  <w:style w:type="character" w:styleId="Textodelmarcadordeposicin">
    <w:name w:val="Placeholder Text"/>
    <w:basedOn w:val="Fuentedeprrafopredeter"/>
    <w:uiPriority w:val="99"/>
    <w:semiHidden/>
    <w:rsid w:val="00211CD9"/>
    <w:rPr>
      <w:color w:val="808080"/>
    </w:rPr>
  </w:style>
  <w:style w:type="paragraph" w:styleId="Textonotaalfinal">
    <w:name w:val="endnote text"/>
    <w:basedOn w:val="Normal"/>
    <w:link w:val="TextonotaalfinalCar"/>
    <w:uiPriority w:val="99"/>
    <w:semiHidden/>
    <w:unhideWhenUsed/>
    <w:rsid w:val="003D4F12"/>
    <w:pPr>
      <w:spacing w:before="0"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D4F12"/>
    <w:rPr>
      <w:rFonts w:ascii="Arial" w:hAnsi="Arial"/>
      <w:sz w:val="20"/>
      <w:szCs w:val="20"/>
    </w:rPr>
  </w:style>
  <w:style w:type="character" w:styleId="Refdenotaalfinal">
    <w:name w:val="endnote reference"/>
    <w:basedOn w:val="Fuentedeprrafopredeter"/>
    <w:uiPriority w:val="99"/>
    <w:semiHidden/>
    <w:unhideWhenUsed/>
    <w:rsid w:val="00A32C0B"/>
    <w:rPr>
      <w:rFonts w:asciiTheme="minorHAnsi" w:hAnsiTheme="minorHAnsi"/>
      <w:color w:val="auto"/>
      <w:sz w:val="18"/>
      <w:vertAlign w:val="baseline"/>
    </w:rPr>
  </w:style>
  <w:style w:type="paragraph" w:customStyle="1" w:styleId="TtuloReferencias">
    <w:name w:val="TítuloReferencias"/>
    <w:basedOn w:val="Ttulo1"/>
    <w:link w:val="TtuloReferenciasChar"/>
    <w:qFormat/>
    <w:rsid w:val="00FC60AB"/>
    <w:pPr>
      <w:numPr>
        <w:numId w:val="0"/>
      </w:numPr>
      <w:spacing w:after="0"/>
      <w:ind w:left="431" w:hanging="431"/>
    </w:pPr>
  </w:style>
  <w:style w:type="character" w:customStyle="1" w:styleId="TtuloReferenciasChar">
    <w:name w:val="TítuloReferencias Char"/>
    <w:basedOn w:val="Ttulo1Car"/>
    <w:link w:val="TtuloReferencias"/>
    <w:rsid w:val="00FC60AB"/>
    <w:rPr>
      <w:rFonts w:ascii="Arial" w:eastAsiaTheme="majorEastAsia" w:hAnsi="Arial" w:cs="Arial"/>
      <w:b/>
      <w:bCs/>
      <w:noProof/>
      <w:color w:val="2E435C"/>
      <w:sz w:val="28"/>
      <w:szCs w:val="28"/>
      <w:lang w:val="en-US"/>
    </w:rPr>
  </w:style>
  <w:style w:type="character" w:styleId="Mencinsinresolver">
    <w:name w:val="Unresolved Mention"/>
    <w:basedOn w:val="Fuentedeprrafopredeter"/>
    <w:uiPriority w:val="99"/>
    <w:semiHidden/>
    <w:unhideWhenUsed/>
    <w:rsid w:val="00F1528A"/>
    <w:rPr>
      <w:color w:val="605E5C"/>
      <w:shd w:val="clear" w:color="auto" w:fill="E1DFDD"/>
    </w:rPr>
  </w:style>
  <w:style w:type="table" w:styleId="Tabladecuadrcula3">
    <w:name w:val="Grid Table 3"/>
    <w:basedOn w:val="Tablanormal"/>
    <w:uiPriority w:val="48"/>
    <w:rsid w:val="00747DBA"/>
    <w:pPr>
      <w:spacing w:after="0" w:line="240" w:lineRule="auto"/>
    </w:pPr>
    <w:rPr>
      <w:rFonts w:ascii="New York" w:eastAsia="Times New Roman" w:hAnsi="New York" w:cs="Times New Roman"/>
      <w:sz w:val="20"/>
      <w:szCs w:val="20"/>
      <w:lang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Bibliografa">
    <w:name w:val="Bibliography"/>
    <w:basedOn w:val="Normal"/>
    <w:next w:val="Normal"/>
    <w:uiPriority w:val="37"/>
    <w:semiHidden/>
    <w:unhideWhenUsed/>
    <w:rsid w:val="004C78D2"/>
  </w:style>
  <w:style w:type="table" w:styleId="Tablaconcuadrculaclara">
    <w:name w:val="Grid Table Light"/>
    <w:basedOn w:val="Tablanormal"/>
    <w:uiPriority w:val="40"/>
    <w:rsid w:val="004C78D2"/>
    <w:pPr>
      <w:spacing w:after="0" w:line="240" w:lineRule="auto"/>
    </w:pPr>
    <w:rPr>
      <w:rFonts w:ascii="New York" w:eastAsia="Times New Roman" w:hAnsi="New York" w:cs="Times New Roman"/>
      <w:sz w:val="20"/>
      <w:szCs w:val="20"/>
      <w:lang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hyperlink" Target="https://www.ideko.es/es/oferta-industria/proyectos/avansite" TargetMode="External"/><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ngutierrez@ideko.es" TargetMode="External"/><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0C76A-0C5D-460F-8C32-F56417D51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5051</Words>
  <Characters>27781</Characters>
  <Application>Microsoft Office Word</Application>
  <DocSecurity>0</DocSecurity>
  <Lines>231</Lines>
  <Paragraphs>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dc:creator>
  <cp:lastModifiedBy>Natalia Gutierrez Perez de Eulate</cp:lastModifiedBy>
  <cp:revision>12</cp:revision>
  <cp:lastPrinted>2022-05-05T09:21:00Z</cp:lastPrinted>
  <dcterms:created xsi:type="dcterms:W3CDTF">2022-05-01T11:12:00Z</dcterms:created>
  <dcterms:modified xsi:type="dcterms:W3CDTF">2022-05-05T09:21:00Z</dcterms:modified>
</cp:coreProperties>
</file>