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8BE79" w14:textId="51D42BE0" w:rsidR="00725020" w:rsidRDefault="00725020" w:rsidP="00543AB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42" w:hanging="18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Introducción</w:t>
      </w:r>
    </w:p>
    <w:p w14:paraId="4F2D111F" w14:textId="21542A98" w:rsidR="003561DA" w:rsidRDefault="003561DA" w:rsidP="003561DA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lang w:val="es-ES"/>
        </w:rPr>
      </w:pPr>
      <w:r w:rsidRPr="003561DA">
        <w:rPr>
          <w:bCs/>
          <w:color w:val="000000"/>
          <w:lang w:val="es-ES"/>
        </w:rPr>
        <w:t xml:space="preserve">El desarrollo de elastómeros sostenibles ha cobrado un interés creciente en los últimos años. Una limitación clave en este ámbito </w:t>
      </w:r>
      <w:r w:rsidR="000C3E65">
        <w:rPr>
          <w:bCs/>
          <w:color w:val="000000"/>
          <w:lang w:val="es-ES"/>
        </w:rPr>
        <w:t>es</w:t>
      </w:r>
      <w:r w:rsidRPr="003561DA">
        <w:rPr>
          <w:bCs/>
          <w:color w:val="000000"/>
          <w:lang w:val="es-ES"/>
        </w:rPr>
        <w:t xml:space="preserve"> la dicotomía que surge al incorporar cargas reforzantes: si bien estas mejoran ciertas propiedades, también pueden restringir significativamente la movilidad de las cadenas macromoleculares, </w:t>
      </w:r>
      <w:r w:rsidR="000C3E65">
        <w:rPr>
          <w:bCs/>
          <w:color w:val="000000"/>
          <w:lang w:val="es-ES"/>
        </w:rPr>
        <w:t>afectando</w:t>
      </w:r>
      <w:r w:rsidRPr="003561DA">
        <w:rPr>
          <w:bCs/>
          <w:color w:val="000000"/>
          <w:lang w:val="es-ES"/>
        </w:rPr>
        <w:t xml:space="preserve"> negativamente la reciclabilidad y la capacidad de autorreparación</w:t>
      </w:r>
      <w:r>
        <w:rPr>
          <w:bCs/>
          <w:color w:val="000000"/>
          <w:lang w:val="es-ES"/>
        </w:rPr>
        <w:t xml:space="preserve"> </w:t>
      </w:r>
      <w:r w:rsidRPr="003561DA">
        <w:rPr>
          <w:bCs/>
          <w:color w:val="000000"/>
          <w:lang w:val="es-ES"/>
        </w:rPr>
        <w:t>[1]. Por ello, alcanzar un equilibrio entre refuerzo y sostenibilidad sigue siendo un desafío fundamental en el diseño de compuestos elastoméricos</w:t>
      </w:r>
      <w:r>
        <w:rPr>
          <w:bCs/>
          <w:color w:val="000000"/>
          <w:lang w:val="es-ES"/>
        </w:rPr>
        <w:t xml:space="preserve"> </w:t>
      </w:r>
      <w:r w:rsidRPr="003561DA">
        <w:rPr>
          <w:bCs/>
          <w:color w:val="000000"/>
          <w:lang w:val="es-ES"/>
        </w:rPr>
        <w:t>[</w:t>
      </w:r>
      <w:r w:rsidR="00596841">
        <w:rPr>
          <w:bCs/>
          <w:color w:val="000000"/>
          <w:lang w:val="es-ES"/>
        </w:rPr>
        <w:t>2</w:t>
      </w:r>
      <w:r w:rsidRPr="003561DA">
        <w:rPr>
          <w:bCs/>
          <w:color w:val="000000"/>
          <w:lang w:val="es-ES"/>
        </w:rPr>
        <w:t>–</w:t>
      </w:r>
      <w:r w:rsidR="00072192">
        <w:rPr>
          <w:bCs/>
          <w:color w:val="000000"/>
          <w:lang w:val="es-ES"/>
        </w:rPr>
        <w:t>4</w:t>
      </w:r>
      <w:r w:rsidRPr="003561DA">
        <w:rPr>
          <w:bCs/>
          <w:color w:val="000000"/>
          <w:lang w:val="es-ES"/>
        </w:rPr>
        <w:t>].</w:t>
      </w:r>
      <w:r w:rsidR="00156A67">
        <w:rPr>
          <w:bCs/>
          <w:color w:val="000000"/>
          <w:lang w:val="es-ES"/>
        </w:rPr>
        <w:t xml:space="preserve"> </w:t>
      </w:r>
      <w:r w:rsidRPr="003561DA">
        <w:rPr>
          <w:bCs/>
          <w:color w:val="000000"/>
          <w:lang w:val="es-ES"/>
        </w:rPr>
        <w:t>En este trabajo se presentan compuestos de caucho nitrilo carboxilado (XNBR) vulcanizados iónicamente y reforzados con cargas convencionales y sostenibles. Se analiza con especial atención el impacto de añadir cargas tradicionales, como negro de carbono y sílice, así como opciones sostenibles, como celulosa y polvo proveniente de neumáticos fuera de uso</w:t>
      </w:r>
      <w:r w:rsidR="008B63EB">
        <w:rPr>
          <w:bCs/>
          <w:color w:val="000000"/>
          <w:lang w:val="es-ES"/>
        </w:rPr>
        <w:t xml:space="preserve"> (ground tire rubber, GTR)</w:t>
      </w:r>
      <w:r w:rsidRPr="003561DA">
        <w:rPr>
          <w:bCs/>
          <w:color w:val="000000"/>
          <w:lang w:val="es-ES"/>
        </w:rPr>
        <w:t>, en las propiedades mecánicas, térmicas, de autorreparación y de reciclabilidad del caucho.</w:t>
      </w:r>
    </w:p>
    <w:p w14:paraId="4B9735C8" w14:textId="16C84880" w:rsidR="00725020" w:rsidRDefault="00EC7328" w:rsidP="00543AB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42" w:hanging="180"/>
        <w:jc w:val="both"/>
        <w:rPr>
          <w:b/>
          <w:color w:val="000000"/>
          <w:sz w:val="28"/>
          <w:szCs w:val="28"/>
          <w:lang w:val="es-ES"/>
        </w:rPr>
      </w:pPr>
      <w:r>
        <w:rPr>
          <w:b/>
          <w:color w:val="000000"/>
          <w:sz w:val="28"/>
          <w:szCs w:val="28"/>
          <w:lang w:val="es-ES"/>
        </w:rPr>
        <w:t xml:space="preserve">Parte </w:t>
      </w:r>
      <w:r w:rsidR="003561DA">
        <w:rPr>
          <w:b/>
          <w:color w:val="000000"/>
          <w:sz w:val="28"/>
          <w:szCs w:val="28"/>
          <w:lang w:val="es-ES"/>
        </w:rPr>
        <w:t>Experimental</w:t>
      </w:r>
    </w:p>
    <w:p w14:paraId="663CCE2B" w14:textId="77777777" w:rsidR="00EC7328" w:rsidRPr="00EC7328" w:rsidRDefault="00EC7328" w:rsidP="00EC732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lang w:val="es-ES"/>
        </w:rPr>
      </w:pPr>
      <w:r w:rsidRPr="00EC7328">
        <w:rPr>
          <w:b/>
          <w:bCs/>
          <w:color w:val="000000"/>
          <w:lang w:val="es-ES"/>
        </w:rPr>
        <w:t>2.1. Materiales</w:t>
      </w:r>
    </w:p>
    <w:p w14:paraId="52DD3CF9" w14:textId="03309C03" w:rsidR="00EC7328" w:rsidRDefault="00EC7328" w:rsidP="00EC7328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lang w:val="es-ES"/>
        </w:rPr>
      </w:pPr>
      <w:r>
        <w:rPr>
          <w:bCs/>
          <w:color w:val="000000"/>
          <w:lang w:val="es-ES"/>
        </w:rPr>
        <w:t>S</w:t>
      </w:r>
      <w:r w:rsidRPr="00EC7328">
        <w:rPr>
          <w:bCs/>
          <w:color w:val="000000"/>
          <w:lang w:val="es-ES"/>
        </w:rPr>
        <w:t>e utilizó caucho nitrilo carboxilado (XNBR)</w:t>
      </w:r>
      <w:r>
        <w:rPr>
          <w:bCs/>
          <w:color w:val="000000"/>
          <w:lang w:val="es-ES"/>
        </w:rPr>
        <w:t xml:space="preserve"> </w:t>
      </w:r>
      <w:proofErr w:type="spellStart"/>
      <w:r w:rsidRPr="00EC7328">
        <w:rPr>
          <w:bCs/>
          <w:color w:val="000000"/>
          <w:lang w:val="es-ES"/>
        </w:rPr>
        <w:t>Krynac</w:t>
      </w:r>
      <w:proofErr w:type="spellEnd"/>
      <w:r w:rsidRPr="00EC7328">
        <w:rPr>
          <w:bCs/>
          <w:color w:val="000000"/>
          <w:lang w:val="es-ES"/>
        </w:rPr>
        <w:t xml:space="preserve"> x750</w:t>
      </w:r>
      <w:r>
        <w:rPr>
          <w:bCs/>
          <w:color w:val="000000"/>
          <w:lang w:val="es-ES"/>
        </w:rPr>
        <w:t xml:space="preserve"> (</w:t>
      </w:r>
      <w:proofErr w:type="spellStart"/>
      <w:r>
        <w:rPr>
          <w:bCs/>
          <w:color w:val="000000"/>
          <w:lang w:val="es-ES"/>
        </w:rPr>
        <w:t>Arlanxeo</w:t>
      </w:r>
      <w:proofErr w:type="spellEnd"/>
      <w:r>
        <w:rPr>
          <w:bCs/>
          <w:color w:val="000000"/>
          <w:lang w:val="es-ES"/>
        </w:rPr>
        <w:t>) com</w:t>
      </w:r>
      <w:r w:rsidRPr="00EC7328">
        <w:rPr>
          <w:bCs/>
          <w:color w:val="000000"/>
          <w:lang w:val="es-ES"/>
        </w:rPr>
        <w:t xml:space="preserve">o matriz. Como agente de </w:t>
      </w:r>
      <w:r>
        <w:rPr>
          <w:bCs/>
          <w:color w:val="000000"/>
          <w:lang w:val="es-ES"/>
        </w:rPr>
        <w:t xml:space="preserve">entrecruzamiento </w:t>
      </w:r>
      <w:r w:rsidRPr="00EC7328">
        <w:rPr>
          <w:bCs/>
          <w:color w:val="000000"/>
          <w:lang w:val="es-ES"/>
        </w:rPr>
        <w:t xml:space="preserve">se utilizó óxido de </w:t>
      </w:r>
      <w:r w:rsidR="002022A6">
        <w:rPr>
          <w:bCs/>
          <w:color w:val="000000"/>
          <w:lang w:val="es-ES"/>
        </w:rPr>
        <w:t>z</w:t>
      </w:r>
      <w:r w:rsidRPr="00EC7328">
        <w:rPr>
          <w:bCs/>
          <w:color w:val="000000"/>
          <w:lang w:val="es-ES"/>
        </w:rPr>
        <w:t>inc (ZnO</w:t>
      </w:r>
      <w:r>
        <w:rPr>
          <w:bCs/>
          <w:color w:val="000000"/>
          <w:lang w:val="es-ES"/>
        </w:rPr>
        <w:t>) (</w:t>
      </w:r>
      <w:proofErr w:type="spellStart"/>
      <w:r w:rsidRPr="00EC7328">
        <w:rPr>
          <w:bCs/>
          <w:color w:val="000000"/>
          <w:lang w:val="es-ES"/>
        </w:rPr>
        <w:t>Scharlau</w:t>
      </w:r>
      <w:proofErr w:type="spellEnd"/>
      <w:r>
        <w:rPr>
          <w:bCs/>
          <w:color w:val="000000"/>
          <w:lang w:val="es-ES"/>
        </w:rPr>
        <w:t>)</w:t>
      </w:r>
      <w:r w:rsidRPr="00EC7328">
        <w:rPr>
          <w:bCs/>
          <w:color w:val="000000"/>
          <w:lang w:val="es-ES"/>
        </w:rPr>
        <w:t xml:space="preserve">. Se utilizaron dos </w:t>
      </w:r>
      <w:r>
        <w:rPr>
          <w:bCs/>
          <w:color w:val="000000"/>
          <w:lang w:val="es-ES"/>
        </w:rPr>
        <w:t xml:space="preserve">cargas </w:t>
      </w:r>
      <w:r w:rsidR="008B29B0">
        <w:rPr>
          <w:bCs/>
          <w:color w:val="000000"/>
          <w:lang w:val="es-ES"/>
        </w:rPr>
        <w:t xml:space="preserve">reforzantes </w:t>
      </w:r>
      <w:r w:rsidRPr="00EC7328">
        <w:rPr>
          <w:bCs/>
          <w:color w:val="000000"/>
          <w:lang w:val="es-ES"/>
        </w:rPr>
        <w:t>convencionales, negro de carb</w:t>
      </w:r>
      <w:r>
        <w:rPr>
          <w:bCs/>
          <w:color w:val="000000"/>
          <w:lang w:val="es-ES"/>
        </w:rPr>
        <w:t>ono</w:t>
      </w:r>
      <w:r w:rsidRPr="00EC7328">
        <w:rPr>
          <w:bCs/>
          <w:color w:val="000000"/>
          <w:lang w:val="es-ES"/>
        </w:rPr>
        <w:t xml:space="preserve"> (CB) y sílice (Sil), y dos </w:t>
      </w:r>
      <w:r>
        <w:rPr>
          <w:bCs/>
          <w:color w:val="000000"/>
          <w:lang w:val="es-ES"/>
        </w:rPr>
        <w:t>cargas</w:t>
      </w:r>
      <w:r w:rsidRPr="00EC7328">
        <w:rPr>
          <w:bCs/>
          <w:color w:val="000000"/>
          <w:lang w:val="es-ES"/>
        </w:rPr>
        <w:t xml:space="preserve"> no convencionales sostenibles, fibras de celulosa (CF) y </w:t>
      </w:r>
      <w:r>
        <w:rPr>
          <w:bCs/>
          <w:color w:val="000000"/>
          <w:lang w:val="es-ES"/>
        </w:rPr>
        <w:t>polvo proveniente de neumáticos fuera de uso</w:t>
      </w:r>
      <w:r w:rsidRPr="00EC7328">
        <w:rPr>
          <w:bCs/>
          <w:color w:val="000000"/>
          <w:lang w:val="es-ES"/>
        </w:rPr>
        <w:t xml:space="preserve"> (GTR). </w:t>
      </w:r>
      <w:r w:rsidR="007C381A">
        <w:rPr>
          <w:bCs/>
          <w:color w:val="000000"/>
          <w:lang w:val="es-ES"/>
        </w:rPr>
        <w:t>Para este estudio s</w:t>
      </w:r>
      <w:r w:rsidRPr="00EC7328">
        <w:rPr>
          <w:bCs/>
          <w:color w:val="000000"/>
          <w:lang w:val="es-ES"/>
        </w:rPr>
        <w:t>e seleccionaron CB N234 (superficie BET</w:t>
      </w:r>
      <w:r>
        <w:rPr>
          <w:bCs/>
          <w:color w:val="000000"/>
          <w:lang w:val="es-ES"/>
        </w:rPr>
        <w:t xml:space="preserve">: </w:t>
      </w:r>
      <w:r w:rsidRPr="00EC7328">
        <w:rPr>
          <w:bCs/>
          <w:color w:val="000000"/>
          <w:lang w:val="es-ES"/>
        </w:rPr>
        <w:t>119 m</w:t>
      </w:r>
      <w:r w:rsidRPr="00EC7328">
        <w:rPr>
          <w:bCs/>
          <w:color w:val="000000"/>
          <w:vertAlign w:val="superscript"/>
          <w:lang w:val="es-ES"/>
        </w:rPr>
        <w:t>2</w:t>
      </w:r>
      <w:r>
        <w:rPr>
          <w:bCs/>
          <w:color w:val="000000"/>
          <w:lang w:val="es-ES"/>
        </w:rPr>
        <w:t>/g</w:t>
      </w:r>
      <w:r w:rsidRPr="00EC7328">
        <w:rPr>
          <w:bCs/>
          <w:color w:val="000000"/>
          <w:lang w:val="es-ES"/>
        </w:rPr>
        <w:t>) y N330 (superficie BET</w:t>
      </w:r>
      <w:r>
        <w:rPr>
          <w:bCs/>
          <w:color w:val="000000"/>
          <w:lang w:val="es-ES"/>
        </w:rPr>
        <w:t>:</w:t>
      </w:r>
      <w:r w:rsidRPr="00EC7328">
        <w:rPr>
          <w:bCs/>
          <w:color w:val="000000"/>
          <w:lang w:val="es-ES"/>
        </w:rPr>
        <w:t xml:space="preserve"> 78 m</w:t>
      </w:r>
      <w:r w:rsidRPr="00EC7328">
        <w:rPr>
          <w:bCs/>
          <w:color w:val="000000"/>
          <w:vertAlign w:val="superscript"/>
          <w:lang w:val="es-ES"/>
        </w:rPr>
        <w:t>2</w:t>
      </w:r>
      <w:r>
        <w:rPr>
          <w:bCs/>
          <w:color w:val="000000"/>
          <w:lang w:val="es-ES"/>
        </w:rPr>
        <w:t>/</w:t>
      </w:r>
      <w:r w:rsidRPr="00EC7328">
        <w:rPr>
          <w:bCs/>
          <w:color w:val="000000"/>
          <w:lang w:val="es-ES"/>
        </w:rPr>
        <w:t xml:space="preserve">g) suministrados por Birla </w:t>
      </w:r>
      <w:proofErr w:type="spellStart"/>
      <w:r w:rsidRPr="00EC7328">
        <w:rPr>
          <w:bCs/>
          <w:color w:val="000000"/>
          <w:lang w:val="es-ES"/>
        </w:rPr>
        <w:t>Carbon</w:t>
      </w:r>
      <w:proofErr w:type="spellEnd"/>
      <w:r w:rsidRPr="00EC7328">
        <w:rPr>
          <w:bCs/>
          <w:color w:val="000000"/>
          <w:lang w:val="es-ES"/>
        </w:rPr>
        <w:t xml:space="preserve">, ambos con un tamaño de partícula entre 200-300 </w:t>
      </w:r>
      <w:proofErr w:type="spellStart"/>
      <w:r w:rsidRPr="00EC7328">
        <w:rPr>
          <w:bCs/>
          <w:color w:val="000000"/>
          <w:lang w:val="es-ES"/>
        </w:rPr>
        <w:t>μm</w:t>
      </w:r>
      <w:proofErr w:type="spellEnd"/>
      <w:r w:rsidRPr="00EC7328">
        <w:rPr>
          <w:bCs/>
          <w:color w:val="000000"/>
          <w:lang w:val="es-ES"/>
        </w:rPr>
        <w:t xml:space="preserve">. Se utilizó sílice </w:t>
      </w:r>
      <w:proofErr w:type="spellStart"/>
      <w:r w:rsidRPr="00EC7328">
        <w:rPr>
          <w:bCs/>
          <w:color w:val="000000"/>
          <w:lang w:val="es-ES"/>
        </w:rPr>
        <w:t>Zeosil</w:t>
      </w:r>
      <w:proofErr w:type="spellEnd"/>
      <w:r w:rsidRPr="00EC7328">
        <w:rPr>
          <w:bCs/>
          <w:color w:val="000000"/>
          <w:lang w:val="es-ES"/>
        </w:rPr>
        <w:t xml:space="preserve"> 1165 MP (tamaño de partícula de 200–300 </w:t>
      </w:r>
      <w:proofErr w:type="spellStart"/>
      <w:r w:rsidRPr="00EC7328">
        <w:rPr>
          <w:bCs/>
          <w:color w:val="000000"/>
          <w:lang w:val="es-ES"/>
        </w:rPr>
        <w:t>μm</w:t>
      </w:r>
      <w:proofErr w:type="spellEnd"/>
      <w:r w:rsidRPr="00EC7328">
        <w:rPr>
          <w:bCs/>
          <w:color w:val="000000"/>
          <w:lang w:val="es-ES"/>
        </w:rPr>
        <w:t>), suministrad</w:t>
      </w:r>
      <w:r w:rsidR="008B29B0">
        <w:rPr>
          <w:bCs/>
          <w:color w:val="000000"/>
          <w:lang w:val="es-ES"/>
        </w:rPr>
        <w:t>a</w:t>
      </w:r>
      <w:r w:rsidRPr="00EC7328">
        <w:rPr>
          <w:bCs/>
          <w:color w:val="000000"/>
          <w:lang w:val="es-ES"/>
        </w:rPr>
        <w:t xml:space="preserve"> por Solvay. Se seleccionó CF (tamaño de partícula de 50–350 </w:t>
      </w:r>
      <w:proofErr w:type="spellStart"/>
      <w:r w:rsidRPr="00EC7328">
        <w:rPr>
          <w:bCs/>
          <w:color w:val="000000"/>
          <w:lang w:val="es-ES"/>
        </w:rPr>
        <w:t>μm</w:t>
      </w:r>
      <w:proofErr w:type="spellEnd"/>
      <w:r w:rsidRPr="00EC7328">
        <w:rPr>
          <w:bCs/>
          <w:color w:val="000000"/>
          <w:lang w:val="es-ES"/>
        </w:rPr>
        <w:t xml:space="preserve"> y diámetro de fibra de 12–15 </w:t>
      </w:r>
      <w:proofErr w:type="spellStart"/>
      <w:r w:rsidRPr="00EC7328">
        <w:rPr>
          <w:bCs/>
          <w:color w:val="000000"/>
          <w:lang w:val="es-ES"/>
        </w:rPr>
        <w:t>μm</w:t>
      </w:r>
      <w:proofErr w:type="spellEnd"/>
      <w:r w:rsidRPr="00EC7328">
        <w:rPr>
          <w:bCs/>
          <w:color w:val="000000"/>
          <w:lang w:val="es-ES"/>
        </w:rPr>
        <w:t>) de Merck, una fibra natural, renovable y biodegradable compuesta por 10</w:t>
      </w:r>
      <w:r w:rsidR="007C381A">
        <w:rPr>
          <w:bCs/>
          <w:color w:val="000000"/>
          <w:lang w:val="es-ES"/>
        </w:rPr>
        <w:t>.</w:t>
      </w:r>
      <w:r w:rsidRPr="00EC7328">
        <w:rPr>
          <w:bCs/>
          <w:color w:val="000000"/>
          <w:lang w:val="es-ES"/>
        </w:rPr>
        <w:t xml:space="preserve">000 unidades de D-glucosa unidas por enlaces β-(1,4)-glicosídicos. Se </w:t>
      </w:r>
      <w:r w:rsidR="007C381A">
        <w:rPr>
          <w:bCs/>
          <w:color w:val="000000"/>
          <w:lang w:val="es-ES"/>
        </w:rPr>
        <w:t>emplearon</w:t>
      </w:r>
      <w:r w:rsidRPr="00EC7328">
        <w:rPr>
          <w:bCs/>
          <w:color w:val="000000"/>
          <w:lang w:val="es-ES"/>
        </w:rPr>
        <w:t xml:space="preserve"> dos tipos de GTR</w:t>
      </w:r>
      <w:r w:rsidR="00F07C3E">
        <w:rPr>
          <w:bCs/>
          <w:color w:val="000000"/>
          <w:lang w:val="es-ES"/>
        </w:rPr>
        <w:t>:</w:t>
      </w:r>
      <w:r w:rsidRPr="002022A6">
        <w:rPr>
          <w:bCs/>
          <w:color w:val="000000"/>
          <w:lang w:val="es-ES"/>
        </w:rPr>
        <w:t xml:space="preserve"> Lehigh</w:t>
      </w:r>
      <w:r w:rsidRPr="00EC7328">
        <w:rPr>
          <w:bCs/>
          <w:color w:val="000000"/>
          <w:lang w:val="es-ES"/>
        </w:rPr>
        <w:t xml:space="preserve"> Technologies suministró GTR molido criogénicamente (Cryo, superficie BET</w:t>
      </w:r>
      <w:r w:rsidR="00A469B2">
        <w:rPr>
          <w:bCs/>
          <w:color w:val="000000"/>
          <w:lang w:val="es-ES"/>
        </w:rPr>
        <w:t>:</w:t>
      </w:r>
      <w:r w:rsidRPr="00EC7328">
        <w:rPr>
          <w:bCs/>
          <w:color w:val="000000"/>
          <w:lang w:val="es-ES"/>
        </w:rPr>
        <w:t xml:space="preserve"> 0,0209 m</w:t>
      </w:r>
      <w:r w:rsidRPr="005F115C">
        <w:rPr>
          <w:bCs/>
          <w:color w:val="000000"/>
          <w:vertAlign w:val="superscript"/>
          <w:lang w:val="es-ES"/>
        </w:rPr>
        <w:t>2</w:t>
      </w:r>
      <w:r w:rsidR="005F115C">
        <w:rPr>
          <w:bCs/>
          <w:color w:val="000000"/>
          <w:lang w:val="es-ES"/>
        </w:rPr>
        <w:t>/</w:t>
      </w:r>
      <w:r w:rsidRPr="00EC7328">
        <w:rPr>
          <w:bCs/>
          <w:color w:val="000000"/>
          <w:lang w:val="es-ES"/>
        </w:rPr>
        <w:t>g) y Rubber Jet suministró GTR con tecnología de chorro de agua (WJ, superficie BET</w:t>
      </w:r>
      <w:r w:rsidR="007C381A">
        <w:rPr>
          <w:bCs/>
          <w:color w:val="000000"/>
          <w:lang w:val="es-ES"/>
        </w:rPr>
        <w:t>:</w:t>
      </w:r>
      <w:r w:rsidRPr="00EC7328">
        <w:rPr>
          <w:bCs/>
          <w:color w:val="000000"/>
          <w:lang w:val="es-ES"/>
        </w:rPr>
        <w:t xml:space="preserve"> 0,1696 m</w:t>
      </w:r>
      <w:r w:rsidRPr="007C381A">
        <w:rPr>
          <w:bCs/>
          <w:color w:val="000000"/>
          <w:vertAlign w:val="superscript"/>
          <w:lang w:val="es-ES"/>
        </w:rPr>
        <w:t>2</w:t>
      </w:r>
      <w:r w:rsidR="007C381A">
        <w:rPr>
          <w:bCs/>
          <w:color w:val="000000"/>
          <w:lang w:val="es-ES"/>
        </w:rPr>
        <w:t>/</w:t>
      </w:r>
      <w:r w:rsidRPr="00EC7328">
        <w:rPr>
          <w:bCs/>
          <w:color w:val="000000"/>
          <w:lang w:val="es-ES"/>
        </w:rPr>
        <w:t xml:space="preserve">g). Tanto </w:t>
      </w:r>
      <w:r w:rsidR="007C381A">
        <w:rPr>
          <w:bCs/>
          <w:color w:val="000000"/>
          <w:lang w:val="es-ES"/>
        </w:rPr>
        <w:t xml:space="preserve">el </w:t>
      </w:r>
      <w:r w:rsidRPr="00EC7328">
        <w:rPr>
          <w:bCs/>
          <w:color w:val="000000"/>
          <w:lang w:val="es-ES"/>
        </w:rPr>
        <w:t xml:space="preserve">Cryo-GTR como </w:t>
      </w:r>
      <w:r w:rsidR="007C381A">
        <w:rPr>
          <w:bCs/>
          <w:color w:val="000000"/>
          <w:lang w:val="es-ES"/>
        </w:rPr>
        <w:t xml:space="preserve">el </w:t>
      </w:r>
      <w:r w:rsidRPr="00EC7328">
        <w:rPr>
          <w:bCs/>
          <w:color w:val="000000"/>
          <w:lang w:val="es-ES"/>
        </w:rPr>
        <w:t>WJ-GTR se modificaron químicamente mediante un tratamiento con ácido sulfúrico (H</w:t>
      </w:r>
      <w:r w:rsidRPr="007C381A">
        <w:rPr>
          <w:bCs/>
          <w:color w:val="000000"/>
          <w:vertAlign w:val="subscript"/>
          <w:lang w:val="es-ES"/>
        </w:rPr>
        <w:t>2</w:t>
      </w:r>
      <w:r w:rsidRPr="00EC7328">
        <w:rPr>
          <w:bCs/>
          <w:color w:val="000000"/>
          <w:lang w:val="es-ES"/>
        </w:rPr>
        <w:t>SO</w:t>
      </w:r>
      <w:r w:rsidRPr="007C381A">
        <w:rPr>
          <w:bCs/>
          <w:color w:val="000000"/>
          <w:vertAlign w:val="subscript"/>
          <w:lang w:val="es-ES"/>
        </w:rPr>
        <w:t>4</w:t>
      </w:r>
      <w:r w:rsidRPr="00EC7328">
        <w:rPr>
          <w:bCs/>
          <w:color w:val="000000"/>
          <w:lang w:val="es-ES"/>
        </w:rPr>
        <w:t xml:space="preserve">) </w:t>
      </w:r>
      <w:r w:rsidRPr="00725969">
        <w:rPr>
          <w:bCs/>
          <w:color w:val="000000"/>
          <w:lang w:val="es-ES"/>
        </w:rPr>
        <w:t>[</w:t>
      </w:r>
      <w:r w:rsidR="00F07C3E">
        <w:rPr>
          <w:bCs/>
          <w:color w:val="000000"/>
          <w:lang w:val="es-ES"/>
        </w:rPr>
        <w:t>5</w:t>
      </w:r>
      <w:r w:rsidRPr="00725969">
        <w:rPr>
          <w:bCs/>
          <w:color w:val="000000"/>
          <w:lang w:val="es-ES"/>
        </w:rPr>
        <w:t>],</w:t>
      </w:r>
      <w:r w:rsidRPr="00EC7328">
        <w:rPr>
          <w:bCs/>
          <w:color w:val="000000"/>
          <w:lang w:val="es-ES"/>
        </w:rPr>
        <w:t xml:space="preserve"> que aumentó el contenido de grupos oxigenados (p. ej., hidroxilo, carbonilo y carboxilo) en la superficie de las partículas.</w:t>
      </w:r>
    </w:p>
    <w:p w14:paraId="3BB796A0" w14:textId="56558778" w:rsidR="007C381A" w:rsidRPr="007C381A" w:rsidRDefault="007C381A" w:rsidP="007C381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lang w:val="es-ES"/>
        </w:rPr>
      </w:pPr>
      <w:r w:rsidRPr="007C381A">
        <w:rPr>
          <w:b/>
          <w:bCs/>
          <w:color w:val="000000"/>
          <w:lang w:val="es-ES"/>
        </w:rPr>
        <w:t xml:space="preserve">2.2. </w:t>
      </w:r>
      <w:r>
        <w:rPr>
          <w:b/>
          <w:bCs/>
          <w:color w:val="000000"/>
          <w:lang w:val="es-ES"/>
        </w:rPr>
        <w:t>Mezclad</w:t>
      </w:r>
      <w:r w:rsidRPr="007C381A">
        <w:rPr>
          <w:b/>
          <w:bCs/>
          <w:color w:val="000000"/>
          <w:lang w:val="es-ES"/>
        </w:rPr>
        <w:t>o y vulcanización</w:t>
      </w:r>
    </w:p>
    <w:p w14:paraId="7E0BBD8F" w14:textId="7102CAF8" w:rsidR="007C381A" w:rsidRDefault="007C381A" w:rsidP="007C381A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lang w:val="es-ES"/>
        </w:rPr>
      </w:pPr>
      <w:r w:rsidRPr="007C381A">
        <w:rPr>
          <w:bCs/>
          <w:color w:val="000000"/>
          <w:lang w:val="es-ES"/>
        </w:rPr>
        <w:t xml:space="preserve">Los ingredientes se mezclaron a temperatura ambiente durante 15 min en un mezclador abierto de dos rodillos. </w:t>
      </w:r>
      <w:r w:rsidR="00C21FF0" w:rsidRPr="00C21FF0">
        <w:rPr>
          <w:bCs/>
          <w:color w:val="000000"/>
          <w:lang w:val="es-ES"/>
        </w:rPr>
        <w:t>Durante todo el proceso se fue reduciendo progresivamente la distancia entre los rodillos y se realizaron cortes en direcciones alternativas para garantizar una homogeneidad suficiente en la mezcla. Una vez incorporados y homogeneizados los ingredientes, las mezclas se almacenaron en el congelador durante al menos 24 h antes de caracterizarlas.</w:t>
      </w:r>
      <w:r w:rsidR="00C21FF0">
        <w:rPr>
          <w:bCs/>
          <w:color w:val="000000"/>
          <w:lang w:val="es-ES"/>
        </w:rPr>
        <w:t xml:space="preserve"> </w:t>
      </w:r>
      <w:r>
        <w:rPr>
          <w:bCs/>
          <w:color w:val="000000"/>
          <w:lang w:val="es-ES"/>
        </w:rPr>
        <w:t xml:space="preserve">En la </w:t>
      </w:r>
      <w:r>
        <w:rPr>
          <w:bCs/>
          <w:color w:val="000000"/>
          <w:lang w:val="es-ES"/>
        </w:rPr>
        <w:fldChar w:fldCharType="begin"/>
      </w:r>
      <w:r>
        <w:rPr>
          <w:bCs/>
          <w:color w:val="000000"/>
          <w:lang w:val="es-ES"/>
        </w:rPr>
        <w:instrText xml:space="preserve"> REF _Ref192592205 \h </w:instrText>
      </w:r>
      <w:r>
        <w:rPr>
          <w:bCs/>
          <w:color w:val="000000"/>
          <w:lang w:val="es-ES"/>
        </w:rPr>
      </w:r>
      <w:r>
        <w:rPr>
          <w:bCs/>
          <w:color w:val="000000"/>
          <w:lang w:val="es-ES"/>
        </w:rPr>
        <w:fldChar w:fldCharType="separate"/>
      </w:r>
      <w:r w:rsidR="006E4536" w:rsidRPr="002718F5">
        <w:rPr>
          <w:lang w:val="es-ES"/>
        </w:rPr>
        <w:t xml:space="preserve">Tabla </w:t>
      </w:r>
      <w:r w:rsidR="006E4536">
        <w:rPr>
          <w:noProof/>
          <w:lang w:val="es-ES"/>
        </w:rPr>
        <w:t>1</w:t>
      </w:r>
      <w:r>
        <w:rPr>
          <w:bCs/>
          <w:color w:val="000000"/>
          <w:lang w:val="es-ES"/>
        </w:rPr>
        <w:fldChar w:fldCharType="end"/>
      </w:r>
      <w:r>
        <w:rPr>
          <w:bCs/>
          <w:color w:val="000000"/>
          <w:lang w:val="es-ES"/>
        </w:rPr>
        <w:t xml:space="preserve"> se </w:t>
      </w:r>
      <w:r w:rsidRPr="007C381A">
        <w:rPr>
          <w:bCs/>
          <w:color w:val="000000"/>
          <w:lang w:val="es-ES"/>
        </w:rPr>
        <w:t xml:space="preserve">muestran </w:t>
      </w:r>
      <w:r>
        <w:rPr>
          <w:bCs/>
          <w:color w:val="000000"/>
          <w:lang w:val="es-ES"/>
        </w:rPr>
        <w:t xml:space="preserve">las formulaciones preparadas. </w:t>
      </w:r>
      <w:r w:rsidRPr="007C381A">
        <w:rPr>
          <w:bCs/>
          <w:color w:val="000000"/>
          <w:lang w:val="es-ES"/>
        </w:rPr>
        <w:t xml:space="preserve">Las curvas de curado se determinaron utilizando un reómetro </w:t>
      </w:r>
      <w:r w:rsidR="002718F5">
        <w:rPr>
          <w:bCs/>
          <w:color w:val="000000"/>
          <w:lang w:val="es-ES"/>
        </w:rPr>
        <w:t>oscilante (</w:t>
      </w:r>
      <w:r w:rsidR="00264B07" w:rsidRPr="007C381A">
        <w:rPr>
          <w:bCs/>
          <w:color w:val="000000"/>
          <w:lang w:val="es-ES"/>
        </w:rPr>
        <w:t>M</w:t>
      </w:r>
      <w:r w:rsidR="00F07C3E">
        <w:rPr>
          <w:bCs/>
          <w:color w:val="000000"/>
          <w:lang w:val="es-ES"/>
        </w:rPr>
        <w:t>DR</w:t>
      </w:r>
      <w:r w:rsidR="002718F5">
        <w:rPr>
          <w:bCs/>
          <w:color w:val="000000"/>
          <w:lang w:val="es-ES"/>
        </w:rPr>
        <w:t>) a</w:t>
      </w:r>
      <w:r w:rsidRPr="007C381A">
        <w:rPr>
          <w:bCs/>
          <w:color w:val="000000"/>
          <w:lang w:val="es-ES"/>
        </w:rPr>
        <w:t xml:space="preserve"> una frecuencia de 1,7 Hz y un arco de oscilación de 0,5° a 160 °C. El tiempo en el que se alcanzó el 90 % del </w:t>
      </w:r>
      <w:r w:rsidR="002718F5">
        <w:rPr>
          <w:bCs/>
          <w:color w:val="000000"/>
          <w:lang w:val="es-ES"/>
        </w:rPr>
        <w:t>torque</w:t>
      </w:r>
      <w:r w:rsidRPr="007C381A">
        <w:rPr>
          <w:bCs/>
          <w:color w:val="000000"/>
          <w:lang w:val="es-ES"/>
        </w:rPr>
        <w:t xml:space="preserve"> máximo (t90) se utilizó como tiempo de curado óptimo para la vulcanización de los compuestos. El moldeo por compresión se llevó a cabo en una prensa hidráulica</w:t>
      </w:r>
      <w:r w:rsidR="002718F5">
        <w:rPr>
          <w:bCs/>
          <w:color w:val="000000"/>
          <w:lang w:val="es-ES"/>
        </w:rPr>
        <w:t xml:space="preserve"> </w:t>
      </w:r>
      <w:r w:rsidRPr="007C381A">
        <w:rPr>
          <w:bCs/>
          <w:color w:val="000000"/>
          <w:lang w:val="es-ES"/>
        </w:rPr>
        <w:t xml:space="preserve">a 160 °C y 200 bar. Al menos 24 h después del moldeo, se cortaron las </w:t>
      </w:r>
      <w:r w:rsidR="002718F5">
        <w:rPr>
          <w:bCs/>
          <w:color w:val="000000"/>
          <w:lang w:val="es-ES"/>
        </w:rPr>
        <w:t>probetas</w:t>
      </w:r>
      <w:r w:rsidRPr="007C381A">
        <w:rPr>
          <w:bCs/>
          <w:color w:val="000000"/>
          <w:lang w:val="es-ES"/>
        </w:rPr>
        <w:t xml:space="preserve"> para su caracterización.</w:t>
      </w:r>
    </w:p>
    <w:p w14:paraId="48C4DDDE" w14:textId="016220E3" w:rsidR="007537CB" w:rsidRPr="00EC7328" w:rsidRDefault="007537CB" w:rsidP="007537CB">
      <w:pPr>
        <w:jc w:val="center"/>
        <w:rPr>
          <w:lang w:val="es-ES"/>
        </w:rPr>
      </w:pPr>
      <w:bookmarkStart w:id="0" w:name="_Ref192592205"/>
      <w:r w:rsidRPr="002718F5">
        <w:rPr>
          <w:lang w:val="es-ES"/>
        </w:rPr>
        <w:t xml:space="preserve">Tabla </w:t>
      </w:r>
      <w:r>
        <w:fldChar w:fldCharType="begin"/>
      </w:r>
      <w:r w:rsidRPr="002718F5">
        <w:rPr>
          <w:lang w:val="es-ES"/>
        </w:rPr>
        <w:instrText xml:space="preserve"> SEQ Tabla \* ARABIC </w:instrText>
      </w:r>
      <w:r>
        <w:fldChar w:fldCharType="separate"/>
      </w:r>
      <w:r w:rsidR="006E4536">
        <w:rPr>
          <w:noProof/>
          <w:lang w:val="es-ES"/>
        </w:rPr>
        <w:t>1</w:t>
      </w:r>
      <w:r>
        <w:fldChar w:fldCharType="end"/>
      </w:r>
      <w:bookmarkEnd w:id="0"/>
      <w:r w:rsidRPr="00EC7328">
        <w:rPr>
          <w:lang w:val="es-ES"/>
        </w:rPr>
        <w:t>. Formulación de los compuestos de XNBR</w:t>
      </w:r>
      <w:r>
        <w:rPr>
          <w:lang w:val="es-ES"/>
        </w:rPr>
        <w:t>, expresados en partes por cien de caucho (ppc)</w:t>
      </w:r>
      <w:r w:rsidRPr="00EC7328">
        <w:rPr>
          <w:lang w:val="es-ES"/>
        </w:rPr>
        <w:t>.</w:t>
      </w:r>
    </w:p>
    <w:tbl>
      <w:tblPr>
        <w:tblW w:w="8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6"/>
        <w:gridCol w:w="2196"/>
        <w:gridCol w:w="2196"/>
        <w:gridCol w:w="2196"/>
      </w:tblGrid>
      <w:tr w:rsidR="002718F5" w:rsidRPr="00264B07" w14:paraId="200FF4E8" w14:textId="6D9FC0F8" w:rsidTr="002718F5">
        <w:trPr>
          <w:trHeight w:val="70"/>
          <w:jc w:val="center"/>
        </w:trPr>
        <w:tc>
          <w:tcPr>
            <w:tcW w:w="2196" w:type="dxa"/>
            <w:shd w:val="clear" w:color="auto" w:fill="D9D9D9"/>
          </w:tcPr>
          <w:p w14:paraId="403DB5BD" w14:textId="23329706" w:rsidR="002718F5" w:rsidRPr="00264B07" w:rsidRDefault="002718F5" w:rsidP="00271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0" w:hanging="180"/>
              <w:rPr>
                <w:b/>
                <w:color w:val="000000"/>
              </w:rPr>
            </w:pPr>
            <w:proofErr w:type="spellStart"/>
            <w:r w:rsidRPr="00264B07">
              <w:rPr>
                <w:b/>
                <w:color w:val="000000"/>
              </w:rPr>
              <w:t>Compuesto</w:t>
            </w:r>
            <w:proofErr w:type="spellEnd"/>
          </w:p>
        </w:tc>
        <w:tc>
          <w:tcPr>
            <w:tcW w:w="2196" w:type="dxa"/>
            <w:shd w:val="clear" w:color="auto" w:fill="D9D9D9"/>
          </w:tcPr>
          <w:p w14:paraId="1A71EFF9" w14:textId="2CAACE59" w:rsidR="002718F5" w:rsidRPr="00264B07" w:rsidRDefault="002718F5" w:rsidP="00271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0" w:hanging="180"/>
              <w:jc w:val="center"/>
              <w:rPr>
                <w:b/>
                <w:color w:val="000000"/>
              </w:rPr>
            </w:pPr>
            <w:r w:rsidRPr="00264B07">
              <w:rPr>
                <w:b/>
                <w:color w:val="000000"/>
              </w:rPr>
              <w:t>ZNBR</w:t>
            </w:r>
          </w:p>
        </w:tc>
        <w:tc>
          <w:tcPr>
            <w:tcW w:w="2196" w:type="dxa"/>
            <w:shd w:val="clear" w:color="auto" w:fill="D9D9D9"/>
          </w:tcPr>
          <w:p w14:paraId="6B1374CF" w14:textId="2FBAF610" w:rsidR="002718F5" w:rsidRPr="00264B07" w:rsidRDefault="002718F5" w:rsidP="00271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0" w:hanging="180"/>
              <w:jc w:val="center"/>
              <w:rPr>
                <w:b/>
                <w:color w:val="000000"/>
              </w:rPr>
            </w:pPr>
            <w:r w:rsidRPr="00264B07">
              <w:rPr>
                <w:b/>
                <w:color w:val="000000"/>
              </w:rPr>
              <w:t>ZnO</w:t>
            </w:r>
          </w:p>
        </w:tc>
        <w:tc>
          <w:tcPr>
            <w:tcW w:w="2196" w:type="dxa"/>
            <w:shd w:val="clear" w:color="auto" w:fill="D9D9D9"/>
          </w:tcPr>
          <w:p w14:paraId="24BAD4CB" w14:textId="327E9376" w:rsidR="002718F5" w:rsidRPr="00264B07" w:rsidRDefault="002718F5" w:rsidP="00271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0" w:hanging="180"/>
              <w:jc w:val="center"/>
              <w:rPr>
                <w:b/>
                <w:color w:val="000000"/>
              </w:rPr>
            </w:pPr>
            <w:r w:rsidRPr="00264B07">
              <w:rPr>
                <w:b/>
                <w:color w:val="000000"/>
              </w:rPr>
              <w:t>Carga</w:t>
            </w:r>
          </w:p>
        </w:tc>
      </w:tr>
      <w:tr w:rsidR="002718F5" w14:paraId="58A17760" w14:textId="0EF544E5" w:rsidTr="002718F5">
        <w:trPr>
          <w:jc w:val="center"/>
        </w:trPr>
        <w:tc>
          <w:tcPr>
            <w:tcW w:w="2196" w:type="dxa"/>
          </w:tcPr>
          <w:p w14:paraId="1F332CC5" w14:textId="3D09EF36" w:rsidR="002718F5" w:rsidRDefault="002718F5" w:rsidP="00092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0" w:hanging="180"/>
              <w:rPr>
                <w:color w:val="000000"/>
              </w:rPr>
            </w:pPr>
            <w:r>
              <w:rPr>
                <w:color w:val="000000"/>
              </w:rPr>
              <w:t>5ZnO</w:t>
            </w:r>
          </w:p>
        </w:tc>
        <w:tc>
          <w:tcPr>
            <w:tcW w:w="2196" w:type="dxa"/>
          </w:tcPr>
          <w:p w14:paraId="094935CC" w14:textId="77777777" w:rsidR="002718F5" w:rsidRDefault="002718F5" w:rsidP="00092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0" w:hanging="18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196" w:type="dxa"/>
          </w:tcPr>
          <w:p w14:paraId="46D8459C" w14:textId="06284B05" w:rsidR="002718F5" w:rsidRDefault="002718F5" w:rsidP="00092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0" w:hanging="18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96" w:type="dxa"/>
          </w:tcPr>
          <w:p w14:paraId="7260B7D7" w14:textId="2C5B79C2" w:rsidR="002718F5" w:rsidRDefault="00725969" w:rsidP="00092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0" w:hanging="180"/>
              <w:jc w:val="center"/>
              <w:rPr>
                <w:color w:val="000000"/>
              </w:rPr>
            </w:pPr>
            <w:r>
              <w:rPr>
                <w:color w:val="000000"/>
              </w:rPr>
              <w:t>---</w:t>
            </w:r>
          </w:p>
        </w:tc>
      </w:tr>
      <w:tr w:rsidR="002718F5" w14:paraId="1A98735F" w14:textId="3702DC95" w:rsidTr="002718F5">
        <w:trPr>
          <w:jc w:val="center"/>
        </w:trPr>
        <w:tc>
          <w:tcPr>
            <w:tcW w:w="2196" w:type="dxa"/>
          </w:tcPr>
          <w:p w14:paraId="456D746B" w14:textId="100E5E2C" w:rsidR="002718F5" w:rsidRDefault="002718F5" w:rsidP="00092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0" w:hanging="180"/>
              <w:rPr>
                <w:color w:val="000000"/>
              </w:rPr>
            </w:pPr>
            <w:r>
              <w:rPr>
                <w:color w:val="000000"/>
              </w:rPr>
              <w:lastRenderedPageBreak/>
              <w:t>10N234</w:t>
            </w:r>
          </w:p>
        </w:tc>
        <w:tc>
          <w:tcPr>
            <w:tcW w:w="2196" w:type="dxa"/>
          </w:tcPr>
          <w:p w14:paraId="1317FED9" w14:textId="54BE0AA5" w:rsidR="002718F5" w:rsidRDefault="002718F5" w:rsidP="00092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0" w:hanging="18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196" w:type="dxa"/>
          </w:tcPr>
          <w:p w14:paraId="78253491" w14:textId="19AB4E5C" w:rsidR="002718F5" w:rsidRDefault="002718F5" w:rsidP="00092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0" w:hanging="18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96" w:type="dxa"/>
          </w:tcPr>
          <w:p w14:paraId="03D5084A" w14:textId="36661B0B" w:rsidR="002718F5" w:rsidRDefault="002718F5" w:rsidP="00092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0" w:hanging="18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2718F5" w14:paraId="6B6CAD89" w14:textId="62AE8D97" w:rsidTr="002718F5">
        <w:trPr>
          <w:jc w:val="center"/>
        </w:trPr>
        <w:tc>
          <w:tcPr>
            <w:tcW w:w="2196" w:type="dxa"/>
          </w:tcPr>
          <w:p w14:paraId="658EC140" w14:textId="0BBF8C17" w:rsidR="002718F5" w:rsidRDefault="002718F5" w:rsidP="00092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0" w:hanging="180"/>
              <w:rPr>
                <w:color w:val="000000"/>
              </w:rPr>
            </w:pPr>
            <w:r>
              <w:rPr>
                <w:color w:val="000000"/>
              </w:rPr>
              <w:t>10N330</w:t>
            </w:r>
          </w:p>
        </w:tc>
        <w:tc>
          <w:tcPr>
            <w:tcW w:w="2196" w:type="dxa"/>
          </w:tcPr>
          <w:p w14:paraId="3098A7DE" w14:textId="428B1481" w:rsidR="002718F5" w:rsidRDefault="002718F5" w:rsidP="00092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0" w:hanging="18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196" w:type="dxa"/>
          </w:tcPr>
          <w:p w14:paraId="536CAD15" w14:textId="6C9E6C42" w:rsidR="002718F5" w:rsidRDefault="002718F5" w:rsidP="00092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0" w:hanging="18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96" w:type="dxa"/>
          </w:tcPr>
          <w:p w14:paraId="5D7ABF15" w14:textId="258FED9B" w:rsidR="002718F5" w:rsidRDefault="002718F5" w:rsidP="00092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0" w:hanging="18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2718F5" w14:paraId="5472B215" w14:textId="77777777" w:rsidTr="002718F5">
        <w:trPr>
          <w:jc w:val="center"/>
        </w:trPr>
        <w:tc>
          <w:tcPr>
            <w:tcW w:w="2196" w:type="dxa"/>
          </w:tcPr>
          <w:p w14:paraId="1F110AC9" w14:textId="46BC734B" w:rsidR="002718F5" w:rsidRDefault="002718F5" w:rsidP="00092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0" w:hanging="180"/>
              <w:rPr>
                <w:color w:val="000000"/>
              </w:rPr>
            </w:pPr>
            <w:r>
              <w:rPr>
                <w:color w:val="000000"/>
              </w:rPr>
              <w:t>10Sil</w:t>
            </w:r>
          </w:p>
        </w:tc>
        <w:tc>
          <w:tcPr>
            <w:tcW w:w="2196" w:type="dxa"/>
          </w:tcPr>
          <w:p w14:paraId="6BD79503" w14:textId="6CB0F77D" w:rsidR="002718F5" w:rsidRDefault="002718F5" w:rsidP="00092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0" w:hanging="18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196" w:type="dxa"/>
          </w:tcPr>
          <w:p w14:paraId="487C85AE" w14:textId="5C137A82" w:rsidR="002718F5" w:rsidRDefault="002718F5" w:rsidP="00092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0" w:hanging="18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96" w:type="dxa"/>
          </w:tcPr>
          <w:p w14:paraId="6C214C22" w14:textId="732682CF" w:rsidR="002718F5" w:rsidRDefault="002718F5" w:rsidP="00092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0" w:hanging="18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2718F5" w14:paraId="3331FA78" w14:textId="77777777" w:rsidTr="002718F5">
        <w:trPr>
          <w:jc w:val="center"/>
        </w:trPr>
        <w:tc>
          <w:tcPr>
            <w:tcW w:w="2196" w:type="dxa"/>
          </w:tcPr>
          <w:p w14:paraId="19C44CA4" w14:textId="0F8D94A3" w:rsidR="002718F5" w:rsidRDefault="002718F5" w:rsidP="00092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0" w:hanging="180"/>
              <w:rPr>
                <w:color w:val="000000"/>
              </w:rPr>
            </w:pPr>
            <w:r>
              <w:rPr>
                <w:color w:val="000000"/>
              </w:rPr>
              <w:t>10Cel</w:t>
            </w:r>
          </w:p>
        </w:tc>
        <w:tc>
          <w:tcPr>
            <w:tcW w:w="2196" w:type="dxa"/>
          </w:tcPr>
          <w:p w14:paraId="1ABCE2E8" w14:textId="4D71ABBD" w:rsidR="002718F5" w:rsidRDefault="002718F5" w:rsidP="00092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0" w:hanging="18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196" w:type="dxa"/>
          </w:tcPr>
          <w:p w14:paraId="5B59A204" w14:textId="1CD6583D" w:rsidR="002718F5" w:rsidRDefault="002718F5" w:rsidP="00092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0" w:hanging="18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96" w:type="dxa"/>
          </w:tcPr>
          <w:p w14:paraId="18A95516" w14:textId="3F15A5C9" w:rsidR="002718F5" w:rsidRDefault="002718F5" w:rsidP="00092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0" w:hanging="18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2718F5" w14:paraId="45BF26AD" w14:textId="77777777" w:rsidTr="002718F5">
        <w:trPr>
          <w:jc w:val="center"/>
        </w:trPr>
        <w:tc>
          <w:tcPr>
            <w:tcW w:w="2196" w:type="dxa"/>
          </w:tcPr>
          <w:p w14:paraId="7139B3D5" w14:textId="1EED0B3D" w:rsidR="002718F5" w:rsidRDefault="002718F5" w:rsidP="00092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0" w:hanging="180"/>
              <w:rPr>
                <w:color w:val="000000"/>
              </w:rPr>
            </w:pPr>
            <w:r>
              <w:rPr>
                <w:color w:val="000000"/>
              </w:rPr>
              <w:t>10Cryo</w:t>
            </w:r>
          </w:p>
        </w:tc>
        <w:tc>
          <w:tcPr>
            <w:tcW w:w="2196" w:type="dxa"/>
          </w:tcPr>
          <w:p w14:paraId="4DB4D98E" w14:textId="6C2A127A" w:rsidR="002718F5" w:rsidRDefault="002718F5" w:rsidP="00092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0" w:hanging="18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196" w:type="dxa"/>
          </w:tcPr>
          <w:p w14:paraId="2E0AFB12" w14:textId="2513C8EF" w:rsidR="002718F5" w:rsidRDefault="002718F5" w:rsidP="00092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0" w:hanging="18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96" w:type="dxa"/>
          </w:tcPr>
          <w:p w14:paraId="764EBD40" w14:textId="35D7D012" w:rsidR="002718F5" w:rsidRDefault="002718F5" w:rsidP="00092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0" w:hanging="18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2718F5" w14:paraId="75B5E990" w14:textId="77777777" w:rsidTr="002718F5">
        <w:trPr>
          <w:jc w:val="center"/>
        </w:trPr>
        <w:tc>
          <w:tcPr>
            <w:tcW w:w="2196" w:type="dxa"/>
          </w:tcPr>
          <w:p w14:paraId="51269554" w14:textId="5335E511" w:rsidR="002718F5" w:rsidRDefault="002718F5" w:rsidP="00092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0" w:hanging="180"/>
              <w:rPr>
                <w:color w:val="000000"/>
              </w:rPr>
            </w:pPr>
            <w:r>
              <w:rPr>
                <w:color w:val="000000"/>
              </w:rPr>
              <w:t>10WJ</w:t>
            </w:r>
          </w:p>
        </w:tc>
        <w:tc>
          <w:tcPr>
            <w:tcW w:w="2196" w:type="dxa"/>
          </w:tcPr>
          <w:p w14:paraId="503B910E" w14:textId="56AC290B" w:rsidR="002718F5" w:rsidRDefault="002718F5" w:rsidP="00092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0" w:hanging="18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196" w:type="dxa"/>
          </w:tcPr>
          <w:p w14:paraId="1838A240" w14:textId="25AF6164" w:rsidR="002718F5" w:rsidRDefault="002718F5" w:rsidP="00092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0" w:hanging="18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96" w:type="dxa"/>
          </w:tcPr>
          <w:p w14:paraId="4FB534C2" w14:textId="02FFAFEE" w:rsidR="002718F5" w:rsidRDefault="002718F5" w:rsidP="00092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0" w:hanging="18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</w:tbl>
    <w:p w14:paraId="5ABFFD73" w14:textId="77777777" w:rsidR="003104F8" w:rsidRDefault="003104F8" w:rsidP="003104F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bCs/>
          <w:color w:val="000000"/>
          <w:lang w:val="es-ES"/>
        </w:rPr>
      </w:pPr>
    </w:p>
    <w:p w14:paraId="1717B896" w14:textId="69AADBD2" w:rsidR="00EC7328" w:rsidRPr="007537CB" w:rsidRDefault="007537CB" w:rsidP="007537C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lang w:val="es-ES"/>
        </w:rPr>
      </w:pPr>
      <w:r>
        <w:rPr>
          <w:b/>
          <w:bCs/>
          <w:color w:val="000000"/>
          <w:lang w:val="es-ES"/>
        </w:rPr>
        <w:t xml:space="preserve">2.3. </w:t>
      </w:r>
      <w:r w:rsidR="002718F5" w:rsidRPr="007537CB">
        <w:rPr>
          <w:b/>
          <w:bCs/>
          <w:color w:val="000000"/>
          <w:lang w:val="es-ES"/>
        </w:rPr>
        <w:t>Caracterización</w:t>
      </w:r>
    </w:p>
    <w:p w14:paraId="0D318561" w14:textId="14E56FDF" w:rsidR="00264B07" w:rsidRDefault="002718F5" w:rsidP="00EC7328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lang w:val="es-ES"/>
        </w:rPr>
      </w:pPr>
      <w:r w:rsidRPr="00361267">
        <w:rPr>
          <w:bCs/>
          <w:color w:val="000000"/>
          <w:lang w:val="es-ES"/>
        </w:rPr>
        <w:t xml:space="preserve">La densidad </w:t>
      </w:r>
      <w:r w:rsidR="00264B07" w:rsidRPr="00361267">
        <w:rPr>
          <w:bCs/>
          <w:color w:val="000000"/>
          <w:lang w:val="es-ES"/>
        </w:rPr>
        <w:t>de entrecruzamiento</w:t>
      </w:r>
      <w:r w:rsidRPr="00361267">
        <w:rPr>
          <w:bCs/>
          <w:color w:val="000000"/>
          <w:lang w:val="es-ES"/>
        </w:rPr>
        <w:t xml:space="preserve"> se determinó por hinchamiento. Para ello, se analizaron cinco muestras de sección cuadrada (1 cm × 1 cm × 2 mm) por compuesto. Inicialmente, las muestras se pesaron en aire y luego se sumergieron en tolueno durante 72 h. Posteriormente, se determinó la masa hinchada y se dejó secar el disolvente hasta obtener una masa constante. Con estos valores, se utilizó la expresión de Flory-Rehner para el cálculo correspondiente</w:t>
      </w:r>
      <w:r w:rsidRPr="002718F5">
        <w:rPr>
          <w:bCs/>
          <w:color w:val="000000"/>
          <w:lang w:val="es-ES"/>
        </w:rPr>
        <w:t>.</w:t>
      </w:r>
    </w:p>
    <w:p w14:paraId="2BE9D305" w14:textId="2738B839" w:rsidR="0052317D" w:rsidRDefault="0052317D" w:rsidP="0052317D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lang w:val="es-ES"/>
        </w:rPr>
      </w:pPr>
      <w:r w:rsidRPr="0052317D">
        <w:rPr>
          <w:bCs/>
          <w:color w:val="000000"/>
          <w:lang w:val="es-ES"/>
        </w:rPr>
        <w:t xml:space="preserve">Las transiciones térmicas se determinaron </w:t>
      </w:r>
      <w:r w:rsidR="008B29B0">
        <w:rPr>
          <w:bCs/>
          <w:color w:val="000000"/>
          <w:lang w:val="es-ES"/>
        </w:rPr>
        <w:t>por</w:t>
      </w:r>
      <w:r w:rsidRPr="0052317D">
        <w:rPr>
          <w:bCs/>
          <w:color w:val="000000"/>
          <w:lang w:val="es-ES"/>
        </w:rPr>
        <w:t xml:space="preserve"> calor</w:t>
      </w:r>
      <w:r w:rsidR="008B29B0">
        <w:rPr>
          <w:bCs/>
          <w:color w:val="000000"/>
          <w:lang w:val="es-ES"/>
        </w:rPr>
        <w:t>i</w:t>
      </w:r>
      <w:r w:rsidRPr="0052317D">
        <w:rPr>
          <w:bCs/>
          <w:color w:val="000000"/>
          <w:lang w:val="es-ES"/>
        </w:rPr>
        <w:t>metr</w:t>
      </w:r>
      <w:r w:rsidR="008B29B0">
        <w:rPr>
          <w:bCs/>
          <w:color w:val="000000"/>
          <w:lang w:val="es-ES"/>
        </w:rPr>
        <w:t>ía</w:t>
      </w:r>
      <w:r w:rsidRPr="0052317D">
        <w:rPr>
          <w:bCs/>
          <w:color w:val="000000"/>
          <w:lang w:val="es-ES"/>
        </w:rPr>
        <w:t xml:space="preserve"> diferencial de barrido </w:t>
      </w:r>
      <w:r w:rsidR="001E633E">
        <w:rPr>
          <w:bCs/>
          <w:color w:val="000000"/>
          <w:lang w:val="es-ES"/>
        </w:rPr>
        <w:t>(DSC)</w:t>
      </w:r>
      <w:r w:rsidRPr="0052317D">
        <w:rPr>
          <w:bCs/>
          <w:color w:val="000000"/>
          <w:lang w:val="es-ES"/>
        </w:rPr>
        <w:t>.</w:t>
      </w:r>
      <w:r w:rsidR="00072192">
        <w:rPr>
          <w:bCs/>
          <w:color w:val="000000"/>
          <w:lang w:val="es-ES"/>
        </w:rPr>
        <w:t xml:space="preserve"> </w:t>
      </w:r>
      <w:r w:rsidRPr="0052317D">
        <w:rPr>
          <w:bCs/>
          <w:color w:val="000000"/>
          <w:lang w:val="es-ES"/>
        </w:rPr>
        <w:t>Se realiz</w:t>
      </w:r>
      <w:r>
        <w:rPr>
          <w:bCs/>
          <w:color w:val="000000"/>
          <w:lang w:val="es-ES"/>
        </w:rPr>
        <w:t>ó un</w:t>
      </w:r>
      <w:r w:rsidRPr="0052317D">
        <w:rPr>
          <w:bCs/>
          <w:color w:val="000000"/>
          <w:lang w:val="es-ES"/>
        </w:rPr>
        <w:t xml:space="preserve"> barrido de temperatura</w:t>
      </w:r>
      <w:r>
        <w:rPr>
          <w:bCs/>
          <w:color w:val="000000"/>
          <w:lang w:val="es-ES"/>
        </w:rPr>
        <w:t xml:space="preserve"> </w:t>
      </w:r>
      <w:r w:rsidRPr="0052317D">
        <w:rPr>
          <w:bCs/>
          <w:color w:val="000000"/>
          <w:lang w:val="es-ES"/>
        </w:rPr>
        <w:t xml:space="preserve">(de -90 °C a 250 °C) </w:t>
      </w:r>
      <w:r w:rsidR="00072192" w:rsidRPr="0052317D">
        <w:rPr>
          <w:bCs/>
          <w:color w:val="000000"/>
          <w:lang w:val="es-ES"/>
        </w:rPr>
        <w:t>en atmósfera de nitrógeno</w:t>
      </w:r>
      <w:r w:rsidR="00072192" w:rsidRPr="0052317D">
        <w:rPr>
          <w:bCs/>
          <w:color w:val="000000"/>
          <w:lang w:val="es-ES"/>
        </w:rPr>
        <w:t xml:space="preserve"> </w:t>
      </w:r>
      <w:r w:rsidRPr="0052317D">
        <w:rPr>
          <w:bCs/>
          <w:color w:val="000000"/>
          <w:lang w:val="es-ES"/>
        </w:rPr>
        <w:t>a una velocidad de calentamiento de 10 °C</w:t>
      </w:r>
      <w:r>
        <w:rPr>
          <w:bCs/>
          <w:color w:val="000000"/>
          <w:lang w:val="es-ES"/>
        </w:rPr>
        <w:t>/</w:t>
      </w:r>
      <w:r w:rsidRPr="0052317D">
        <w:rPr>
          <w:bCs/>
          <w:color w:val="000000"/>
          <w:lang w:val="es-ES"/>
        </w:rPr>
        <w:t>min</w:t>
      </w:r>
      <w:r>
        <w:rPr>
          <w:bCs/>
          <w:color w:val="000000"/>
          <w:lang w:val="es-ES"/>
        </w:rPr>
        <w:t>,</w:t>
      </w:r>
      <w:r w:rsidRPr="0052317D">
        <w:rPr>
          <w:bCs/>
          <w:color w:val="000000"/>
          <w:lang w:val="es-ES"/>
        </w:rPr>
        <w:t xml:space="preserve"> elimin</w:t>
      </w:r>
      <w:r>
        <w:rPr>
          <w:bCs/>
          <w:color w:val="000000"/>
          <w:lang w:val="es-ES"/>
        </w:rPr>
        <w:t>ando</w:t>
      </w:r>
      <w:r w:rsidRPr="0052317D">
        <w:rPr>
          <w:bCs/>
          <w:color w:val="000000"/>
          <w:lang w:val="es-ES"/>
        </w:rPr>
        <w:t xml:space="preserve"> </w:t>
      </w:r>
      <w:r>
        <w:rPr>
          <w:bCs/>
          <w:color w:val="000000"/>
          <w:lang w:val="es-ES"/>
        </w:rPr>
        <w:t xml:space="preserve">previamente </w:t>
      </w:r>
      <w:r w:rsidRPr="0052317D">
        <w:rPr>
          <w:bCs/>
          <w:color w:val="000000"/>
          <w:lang w:val="es-ES"/>
        </w:rPr>
        <w:t xml:space="preserve">el historial térmico del material. La estabilidad térmica se determinó </w:t>
      </w:r>
      <w:r w:rsidR="0068123E">
        <w:rPr>
          <w:bCs/>
          <w:color w:val="000000"/>
          <w:lang w:val="es-ES"/>
        </w:rPr>
        <w:t>por análisis termogravimétrico (TGA</w:t>
      </w:r>
      <w:r w:rsidRPr="0052317D">
        <w:rPr>
          <w:bCs/>
          <w:color w:val="000000"/>
          <w:lang w:val="es-ES"/>
        </w:rPr>
        <w:t>). Las muestras se calentaron desde temperatura ambiente hasta 600 °C en atmósfera de nitrógeno a una velocidad de calentamiento de 10 °C</w:t>
      </w:r>
      <w:r>
        <w:rPr>
          <w:bCs/>
          <w:color w:val="000000"/>
          <w:lang w:val="es-ES"/>
        </w:rPr>
        <w:t>/</w:t>
      </w:r>
      <w:r w:rsidRPr="0052317D">
        <w:rPr>
          <w:bCs/>
          <w:color w:val="000000"/>
          <w:lang w:val="es-ES"/>
        </w:rPr>
        <w:t>min.</w:t>
      </w:r>
    </w:p>
    <w:p w14:paraId="1E6092C6" w14:textId="1A6F7045" w:rsidR="00EC7328" w:rsidRDefault="00725969" w:rsidP="00EC7328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lang w:val="es-ES"/>
        </w:rPr>
      </w:pPr>
      <w:r>
        <w:rPr>
          <w:bCs/>
          <w:color w:val="000000"/>
          <w:lang w:val="es-ES"/>
        </w:rPr>
        <w:t>Para</w:t>
      </w:r>
      <w:r w:rsidR="00951043">
        <w:rPr>
          <w:bCs/>
          <w:color w:val="000000"/>
          <w:lang w:val="es-ES"/>
        </w:rPr>
        <w:t xml:space="preserve"> </w:t>
      </w:r>
      <w:r w:rsidR="00264B07" w:rsidRPr="002718F5">
        <w:rPr>
          <w:bCs/>
          <w:color w:val="000000"/>
          <w:lang w:val="es-ES"/>
        </w:rPr>
        <w:t xml:space="preserve">el análisis mecánico dinámico </w:t>
      </w:r>
      <w:r w:rsidR="00951043">
        <w:rPr>
          <w:bCs/>
          <w:color w:val="000000"/>
          <w:lang w:val="es-ES"/>
        </w:rPr>
        <w:t>(</w:t>
      </w:r>
      <w:r w:rsidR="002718F5" w:rsidRPr="002718F5">
        <w:rPr>
          <w:bCs/>
          <w:color w:val="000000"/>
          <w:lang w:val="es-ES"/>
        </w:rPr>
        <w:t>DMA</w:t>
      </w:r>
      <w:r w:rsidR="00951043">
        <w:rPr>
          <w:bCs/>
          <w:color w:val="000000"/>
          <w:lang w:val="es-ES"/>
        </w:rPr>
        <w:t>)</w:t>
      </w:r>
      <w:r>
        <w:rPr>
          <w:bCs/>
          <w:color w:val="000000"/>
          <w:lang w:val="es-ES"/>
        </w:rPr>
        <w:t xml:space="preserve"> s</w:t>
      </w:r>
      <w:r w:rsidR="002718F5" w:rsidRPr="002718F5">
        <w:rPr>
          <w:bCs/>
          <w:color w:val="000000"/>
          <w:lang w:val="es-ES"/>
        </w:rPr>
        <w:t>e utilizaron muestras rectangulares (20 mm × 4 mm × 2 mm) en modo de tensión. Los barridos de temperatura se realizaron a una velocidad de calentamiento de 2 K</w:t>
      </w:r>
      <w:r w:rsidR="00264B07">
        <w:rPr>
          <w:bCs/>
          <w:color w:val="000000"/>
          <w:lang w:val="es-ES"/>
        </w:rPr>
        <w:t>/</w:t>
      </w:r>
      <w:r w:rsidR="002718F5" w:rsidRPr="002718F5">
        <w:rPr>
          <w:bCs/>
          <w:color w:val="000000"/>
          <w:lang w:val="es-ES"/>
        </w:rPr>
        <w:t xml:space="preserve">min, una amplitud constante de 20 </w:t>
      </w:r>
      <w:r w:rsidR="002718F5" w:rsidRPr="002718F5">
        <w:rPr>
          <w:bCs/>
          <w:color w:val="000000"/>
        </w:rPr>
        <w:t>μ</w:t>
      </w:r>
      <w:r w:rsidR="002718F5" w:rsidRPr="002718F5">
        <w:rPr>
          <w:bCs/>
          <w:color w:val="000000"/>
          <w:lang w:val="es-ES"/>
        </w:rPr>
        <w:t>m y una frecuencia de 1 Hz.</w:t>
      </w:r>
      <w:r w:rsidR="00951043">
        <w:rPr>
          <w:bCs/>
          <w:color w:val="000000"/>
          <w:lang w:val="es-ES"/>
        </w:rPr>
        <w:t xml:space="preserve"> </w:t>
      </w:r>
      <w:r w:rsidR="00264B07" w:rsidRPr="00264B07">
        <w:rPr>
          <w:bCs/>
          <w:color w:val="000000"/>
          <w:lang w:val="es-ES"/>
        </w:rPr>
        <w:t xml:space="preserve">Las propiedades mecánicas se determinaron mediante un ensayo de tracción uniaxial en una máquina de ensayos universal. Se utilizó una celda de carga de 50 kN a temperatura ambiente, con una velocidad de separación de </w:t>
      </w:r>
      <w:r w:rsidR="00264B07">
        <w:rPr>
          <w:bCs/>
          <w:color w:val="000000"/>
          <w:lang w:val="es-ES"/>
        </w:rPr>
        <w:t>mordazas</w:t>
      </w:r>
      <w:r w:rsidR="00264B07" w:rsidRPr="00264B07">
        <w:rPr>
          <w:bCs/>
          <w:color w:val="000000"/>
          <w:lang w:val="es-ES"/>
        </w:rPr>
        <w:t xml:space="preserve"> de 200 mm</w:t>
      </w:r>
      <w:r w:rsidR="00264B07">
        <w:rPr>
          <w:bCs/>
          <w:color w:val="000000"/>
          <w:lang w:val="es-ES"/>
        </w:rPr>
        <w:t>/</w:t>
      </w:r>
      <w:r w:rsidR="00264B07" w:rsidRPr="00264B07">
        <w:rPr>
          <w:bCs/>
          <w:color w:val="000000"/>
          <w:lang w:val="es-ES"/>
        </w:rPr>
        <w:t xml:space="preserve">min, según </w:t>
      </w:r>
      <w:r w:rsidR="00264B07">
        <w:rPr>
          <w:bCs/>
          <w:color w:val="000000"/>
          <w:lang w:val="es-ES"/>
        </w:rPr>
        <w:t xml:space="preserve">la norma </w:t>
      </w:r>
      <w:r w:rsidR="00264B07" w:rsidRPr="00264B07">
        <w:rPr>
          <w:bCs/>
          <w:color w:val="000000"/>
          <w:lang w:val="es-ES"/>
        </w:rPr>
        <w:t>UNE-ISO 37:2013</w:t>
      </w:r>
      <w:r w:rsidR="00951043">
        <w:rPr>
          <w:bCs/>
          <w:color w:val="000000"/>
          <w:lang w:val="es-ES"/>
        </w:rPr>
        <w:t>.</w:t>
      </w:r>
    </w:p>
    <w:p w14:paraId="24721E5F" w14:textId="24509E95" w:rsidR="009F32A6" w:rsidRDefault="004700FD" w:rsidP="009F32A6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lang w:val="es-ES"/>
        </w:rPr>
      </w:pPr>
      <w:r>
        <w:rPr>
          <w:bCs/>
          <w:color w:val="000000"/>
          <w:lang w:val="es-ES"/>
        </w:rPr>
        <w:t xml:space="preserve">Para el reciclado de los compuestos, se cortaron </w:t>
      </w:r>
      <w:r w:rsidR="00264B07" w:rsidRPr="00264B07">
        <w:rPr>
          <w:bCs/>
          <w:color w:val="000000"/>
          <w:lang w:val="es-ES"/>
        </w:rPr>
        <w:t xml:space="preserve">las láminas vulcanizadas en pequeños trozos de aproximadamente 1 cm × 1 cm × 2 </w:t>
      </w:r>
      <w:proofErr w:type="spellStart"/>
      <w:r w:rsidR="00264B07" w:rsidRPr="00264B07">
        <w:rPr>
          <w:bCs/>
          <w:color w:val="000000"/>
          <w:lang w:val="es-ES"/>
        </w:rPr>
        <w:t>mm.</w:t>
      </w:r>
      <w:proofErr w:type="spellEnd"/>
      <w:r w:rsidR="00264B07" w:rsidRPr="00264B07">
        <w:rPr>
          <w:bCs/>
          <w:color w:val="000000"/>
          <w:lang w:val="es-ES"/>
        </w:rPr>
        <w:t xml:space="preserve"> Estos fragmentos se colocaron posteriormente en un molde dentro de una prensa a 160 °C y 200 bar durante 1 h, según resultados previos </w:t>
      </w:r>
      <w:r w:rsidR="00264B07" w:rsidRPr="00725969">
        <w:rPr>
          <w:bCs/>
          <w:color w:val="000000"/>
          <w:lang w:val="es-ES"/>
        </w:rPr>
        <w:t>[</w:t>
      </w:r>
      <w:r w:rsidR="00363939">
        <w:rPr>
          <w:bCs/>
          <w:color w:val="000000"/>
          <w:lang w:val="es-ES"/>
        </w:rPr>
        <w:t>6</w:t>
      </w:r>
      <w:r w:rsidR="00264B07" w:rsidRPr="00725969">
        <w:rPr>
          <w:bCs/>
          <w:color w:val="000000"/>
          <w:lang w:val="es-ES"/>
        </w:rPr>
        <w:t>].</w:t>
      </w:r>
      <w:r w:rsidR="0068123E">
        <w:rPr>
          <w:bCs/>
          <w:color w:val="000000"/>
          <w:lang w:val="es-ES"/>
        </w:rPr>
        <w:t xml:space="preserve"> </w:t>
      </w:r>
      <w:r w:rsidR="009F32A6" w:rsidRPr="009F32A6">
        <w:rPr>
          <w:bCs/>
          <w:color w:val="000000"/>
          <w:lang w:val="es-ES"/>
        </w:rPr>
        <w:t>Para la determinación de la capacidad autorreparadora</w:t>
      </w:r>
      <w:r w:rsidR="004E149A">
        <w:rPr>
          <w:bCs/>
          <w:color w:val="000000"/>
          <w:lang w:val="es-ES"/>
        </w:rPr>
        <w:t xml:space="preserve">, </w:t>
      </w:r>
      <w:r w:rsidR="009F32A6" w:rsidRPr="009F32A6">
        <w:rPr>
          <w:bCs/>
          <w:color w:val="000000"/>
          <w:lang w:val="es-ES"/>
        </w:rPr>
        <w:t>se realizó un daño sobre probetas rectangulares cortándola</w:t>
      </w:r>
      <w:r w:rsidR="00951043">
        <w:rPr>
          <w:bCs/>
          <w:color w:val="000000"/>
          <w:lang w:val="es-ES"/>
        </w:rPr>
        <w:t>s</w:t>
      </w:r>
      <w:r w:rsidR="009F32A6" w:rsidRPr="009F32A6">
        <w:rPr>
          <w:bCs/>
          <w:color w:val="000000"/>
          <w:lang w:val="es-ES"/>
        </w:rPr>
        <w:t xml:space="preserve"> en dos piezas con una tijera de precisión. Luego, las dos piezas de la probeta se pusieron en contacto manualmente y se colocaron dentro de un molde de las dimensiones de la muestra virgen. Posteriormente, se sometieron a un protocolo de reparación térmica dentro de una prensa hidráulica a una presión de 200 bar, durante </w:t>
      </w:r>
      <w:r w:rsidR="009F32A6">
        <w:rPr>
          <w:bCs/>
          <w:color w:val="000000"/>
          <w:lang w:val="es-ES"/>
        </w:rPr>
        <w:t>3</w:t>
      </w:r>
      <w:r w:rsidR="009F32A6" w:rsidRPr="009F32A6">
        <w:rPr>
          <w:bCs/>
          <w:color w:val="000000"/>
          <w:lang w:val="es-ES"/>
        </w:rPr>
        <w:t xml:space="preserve"> h a 1</w:t>
      </w:r>
      <w:r w:rsidR="009F32A6">
        <w:rPr>
          <w:bCs/>
          <w:color w:val="000000"/>
          <w:lang w:val="es-ES"/>
        </w:rPr>
        <w:t>1</w:t>
      </w:r>
      <w:r w:rsidR="009F32A6" w:rsidRPr="009F32A6">
        <w:rPr>
          <w:bCs/>
          <w:color w:val="000000"/>
          <w:lang w:val="es-ES"/>
        </w:rPr>
        <w:t>0 °C</w:t>
      </w:r>
      <w:r w:rsidR="00451F33">
        <w:rPr>
          <w:bCs/>
          <w:color w:val="000000"/>
          <w:lang w:val="es-ES"/>
        </w:rPr>
        <w:t xml:space="preserve"> </w:t>
      </w:r>
      <w:r w:rsidR="00725969">
        <w:rPr>
          <w:bCs/>
          <w:color w:val="000000"/>
          <w:lang w:val="es-ES"/>
        </w:rPr>
        <w:t>[</w:t>
      </w:r>
      <w:r w:rsidR="00363939">
        <w:rPr>
          <w:bCs/>
          <w:color w:val="000000"/>
          <w:lang w:val="es-ES"/>
        </w:rPr>
        <w:t>7</w:t>
      </w:r>
      <w:r w:rsidR="00725969">
        <w:rPr>
          <w:bCs/>
          <w:color w:val="000000"/>
          <w:lang w:val="es-ES"/>
        </w:rPr>
        <w:t>]</w:t>
      </w:r>
      <w:r w:rsidR="009F32A6" w:rsidRPr="009F32A6">
        <w:rPr>
          <w:bCs/>
          <w:color w:val="000000"/>
          <w:lang w:val="es-ES"/>
        </w:rPr>
        <w:t>.</w:t>
      </w:r>
    </w:p>
    <w:p w14:paraId="503B49EE" w14:textId="1508FA3A" w:rsidR="009F32A6" w:rsidRPr="009F32A6" w:rsidRDefault="009F32A6" w:rsidP="009F32A6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lang w:val="es-ES"/>
        </w:rPr>
      </w:pPr>
      <w:r w:rsidRPr="009F32A6">
        <w:rPr>
          <w:bCs/>
          <w:color w:val="000000"/>
          <w:lang w:val="es-ES"/>
        </w:rPr>
        <w:t>La eficiencia de reparación (</w:t>
      </w:r>
      <w:r w:rsidRPr="009F32A6">
        <w:rPr>
          <w:bCs/>
          <w:i/>
          <w:color w:val="000000"/>
          <w:lang w:val="es-ES"/>
        </w:rPr>
        <w:sym w:font="Symbol" w:char="F068"/>
      </w:r>
      <w:r w:rsidRPr="009F32A6">
        <w:rPr>
          <w:bCs/>
          <w:color w:val="000000"/>
          <w:lang w:val="es-ES"/>
        </w:rPr>
        <w:t>) de los compuestos se determinó empleando la ecuación (1):</w:t>
      </w:r>
    </w:p>
    <w:tbl>
      <w:tblPr>
        <w:tblW w:w="8494" w:type="dxa"/>
        <w:jc w:val="center"/>
        <w:tblLayout w:type="fixed"/>
        <w:tblLook w:val="0400" w:firstRow="0" w:lastRow="0" w:firstColumn="0" w:lastColumn="0" w:noHBand="0" w:noVBand="1"/>
      </w:tblPr>
      <w:tblGrid>
        <w:gridCol w:w="7508"/>
        <w:gridCol w:w="986"/>
      </w:tblGrid>
      <w:tr w:rsidR="009F32A6" w14:paraId="5399E852" w14:textId="77777777" w:rsidTr="008C6634">
        <w:trPr>
          <w:jc w:val="center"/>
        </w:trPr>
        <w:tc>
          <w:tcPr>
            <w:tcW w:w="7508" w:type="dxa"/>
            <w:vAlign w:val="center"/>
          </w:tcPr>
          <w:p w14:paraId="78378569" w14:textId="64570C63" w:rsidR="009F32A6" w:rsidRPr="009F32A6" w:rsidRDefault="009F32A6" w:rsidP="000926DF">
            <w:pPr>
              <w:ind w:left="450" w:hanging="180"/>
              <w:jc w:val="center"/>
              <w:rPr>
                <w:rFonts w:ascii="Cambria Math" w:eastAsia="Cambria Math" w:hAnsi="Cambria Math" w:cs="Cambria Math"/>
                <w:color w:val="000000"/>
                <w:lang w:val="es-ES"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η 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%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reparada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virgen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 xml:space="preserve"> ×100 </m:t>
                </m:r>
              </m:oMath>
            </m:oMathPara>
          </w:p>
        </w:tc>
        <w:tc>
          <w:tcPr>
            <w:tcW w:w="986" w:type="dxa"/>
            <w:vAlign w:val="center"/>
          </w:tcPr>
          <w:p w14:paraId="05060928" w14:textId="77777777" w:rsidR="009F32A6" w:rsidRDefault="009F32A6" w:rsidP="00092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678"/>
              </w:tabs>
              <w:spacing w:before="180" w:after="180"/>
              <w:ind w:left="450" w:hanging="180"/>
              <w:jc w:val="right"/>
              <w:rPr>
                <w:color w:val="000000"/>
              </w:rPr>
            </w:pPr>
            <w:r>
              <w:rPr>
                <w:color w:val="000000"/>
              </w:rPr>
              <w:t>(1)</w:t>
            </w:r>
          </w:p>
        </w:tc>
      </w:tr>
    </w:tbl>
    <w:p w14:paraId="636C25E2" w14:textId="57332793" w:rsidR="009F32A6" w:rsidRDefault="009F32A6" w:rsidP="009F32A6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lang w:val="es-ES"/>
        </w:rPr>
      </w:pPr>
      <w:r w:rsidRPr="009F32A6">
        <w:rPr>
          <w:bCs/>
          <w:color w:val="000000"/>
          <w:lang w:val="es-ES"/>
        </w:rPr>
        <w:t xml:space="preserve">Donde </w:t>
      </w:r>
      <w:r w:rsidRPr="009F32A6">
        <w:rPr>
          <w:bCs/>
          <w:i/>
          <w:color w:val="000000"/>
          <w:lang w:val="es-ES"/>
        </w:rPr>
        <w:t>P</w:t>
      </w:r>
      <w:r w:rsidRPr="009F32A6">
        <w:rPr>
          <w:bCs/>
          <w:i/>
          <w:color w:val="000000"/>
          <w:vertAlign w:val="subscript"/>
          <w:lang w:val="es-ES"/>
        </w:rPr>
        <w:t>reparada</w:t>
      </w:r>
      <w:r w:rsidRPr="009F32A6">
        <w:rPr>
          <w:bCs/>
          <w:color w:val="000000"/>
          <w:lang w:val="es-ES"/>
        </w:rPr>
        <w:t xml:space="preserve"> es la propiedad seleccionada de la muestra reparada luego de aplicar el protocolo de reparación y </w:t>
      </w:r>
      <w:r w:rsidRPr="009F32A6">
        <w:rPr>
          <w:bCs/>
          <w:i/>
          <w:color w:val="000000"/>
          <w:lang w:val="es-ES"/>
        </w:rPr>
        <w:t>P</w:t>
      </w:r>
      <w:r w:rsidRPr="009F32A6">
        <w:rPr>
          <w:bCs/>
          <w:i/>
          <w:color w:val="000000"/>
          <w:vertAlign w:val="subscript"/>
          <w:lang w:val="es-ES"/>
        </w:rPr>
        <w:t>virgen</w:t>
      </w:r>
      <w:r w:rsidRPr="009F32A6">
        <w:rPr>
          <w:bCs/>
          <w:color w:val="000000"/>
          <w:lang w:val="es-ES"/>
        </w:rPr>
        <w:t xml:space="preserve"> es la propiedad de la muestra virgen. En este estudio, se seleccionó la resistencia a la tracción como propiedad a analizar.</w:t>
      </w:r>
    </w:p>
    <w:p w14:paraId="7405B377" w14:textId="57948CC0" w:rsidR="00725020" w:rsidRDefault="00264B07" w:rsidP="00543AB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42" w:hanging="180"/>
        <w:jc w:val="both"/>
        <w:rPr>
          <w:b/>
          <w:color w:val="000000"/>
          <w:sz w:val="28"/>
          <w:szCs w:val="28"/>
          <w:lang w:val="es-ES"/>
        </w:rPr>
      </w:pPr>
      <w:r>
        <w:rPr>
          <w:b/>
          <w:color w:val="000000"/>
          <w:sz w:val="28"/>
          <w:szCs w:val="28"/>
          <w:lang w:val="es-ES"/>
        </w:rPr>
        <w:t>Resultados y discusión</w:t>
      </w:r>
    </w:p>
    <w:p w14:paraId="566B6568" w14:textId="5E32B541" w:rsidR="00C34323" w:rsidRPr="00DB06CF" w:rsidRDefault="00C21FF0" w:rsidP="00C3432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es-ES"/>
        </w:rPr>
      </w:pPr>
      <w:r w:rsidRPr="00C21FF0">
        <w:rPr>
          <w:bCs/>
          <w:color w:val="000000"/>
          <w:lang w:val="es-ES"/>
        </w:rPr>
        <w:lastRenderedPageBreak/>
        <w:t xml:space="preserve">La </w:t>
      </w:r>
      <w:r w:rsidR="007537CB">
        <w:rPr>
          <w:bCs/>
          <w:color w:val="000000"/>
          <w:lang w:val="es-ES"/>
        </w:rPr>
        <w:fldChar w:fldCharType="begin"/>
      </w:r>
      <w:r w:rsidR="007537CB">
        <w:rPr>
          <w:bCs/>
          <w:color w:val="000000"/>
          <w:lang w:val="es-ES"/>
        </w:rPr>
        <w:instrText xml:space="preserve"> REF _Ref193126584 \h </w:instrText>
      </w:r>
      <w:r w:rsidR="007537CB">
        <w:rPr>
          <w:bCs/>
          <w:color w:val="000000"/>
          <w:lang w:val="es-ES"/>
        </w:rPr>
      </w:r>
      <w:r w:rsidR="007537CB">
        <w:rPr>
          <w:bCs/>
          <w:color w:val="000000"/>
          <w:lang w:val="es-ES"/>
        </w:rPr>
        <w:fldChar w:fldCharType="separate"/>
      </w:r>
      <w:r w:rsidR="006E4536" w:rsidRPr="007537CB">
        <w:rPr>
          <w:lang w:val="es-ES"/>
        </w:rPr>
        <w:t xml:space="preserve">Tabla </w:t>
      </w:r>
      <w:r w:rsidR="006E4536">
        <w:rPr>
          <w:noProof/>
          <w:lang w:val="es-ES"/>
        </w:rPr>
        <w:t>2</w:t>
      </w:r>
      <w:r w:rsidR="007537CB">
        <w:rPr>
          <w:bCs/>
          <w:color w:val="000000"/>
          <w:lang w:val="es-ES"/>
        </w:rPr>
        <w:fldChar w:fldCharType="end"/>
      </w:r>
      <w:r w:rsidR="007537CB">
        <w:rPr>
          <w:bCs/>
          <w:color w:val="000000"/>
          <w:lang w:val="es-ES"/>
        </w:rPr>
        <w:t xml:space="preserve"> </w:t>
      </w:r>
      <w:r w:rsidRPr="00C21FF0">
        <w:rPr>
          <w:bCs/>
          <w:color w:val="000000"/>
          <w:lang w:val="es-ES"/>
        </w:rPr>
        <w:t xml:space="preserve">resume las propiedades reométricas </w:t>
      </w:r>
      <w:r w:rsidR="007537CB">
        <w:rPr>
          <w:bCs/>
          <w:color w:val="000000"/>
          <w:lang w:val="es-ES"/>
        </w:rPr>
        <w:t>de los compuestos preparados</w:t>
      </w:r>
      <w:r w:rsidRPr="00C21FF0">
        <w:rPr>
          <w:bCs/>
          <w:color w:val="000000"/>
          <w:lang w:val="es-ES"/>
        </w:rPr>
        <w:t xml:space="preserve">. </w:t>
      </w:r>
      <w:r w:rsidR="007537CB">
        <w:rPr>
          <w:bCs/>
          <w:color w:val="000000"/>
          <w:lang w:val="es-ES"/>
        </w:rPr>
        <w:t>Se observa que todas las cargas empleadas</w:t>
      </w:r>
      <w:r w:rsidRPr="00C21FF0">
        <w:rPr>
          <w:bCs/>
          <w:color w:val="000000"/>
          <w:lang w:val="es-ES"/>
        </w:rPr>
        <w:t>, tanto convencionales como sostenibles, presenta</w:t>
      </w:r>
      <w:r w:rsidR="0088213F">
        <w:rPr>
          <w:bCs/>
          <w:color w:val="000000"/>
          <w:lang w:val="es-ES"/>
        </w:rPr>
        <w:t>ron</w:t>
      </w:r>
      <w:r w:rsidRPr="00C21FF0">
        <w:rPr>
          <w:bCs/>
          <w:color w:val="000000"/>
          <w:lang w:val="es-ES"/>
        </w:rPr>
        <w:t xml:space="preserve"> un efecto reforzante. Esto se evidenci</w:t>
      </w:r>
      <w:r w:rsidR="007537CB">
        <w:rPr>
          <w:bCs/>
          <w:color w:val="000000"/>
          <w:lang w:val="es-ES"/>
        </w:rPr>
        <w:t>a</w:t>
      </w:r>
      <w:r w:rsidRPr="00C21FF0">
        <w:rPr>
          <w:bCs/>
          <w:color w:val="000000"/>
          <w:lang w:val="es-ES"/>
        </w:rPr>
        <w:t xml:space="preserve"> </w:t>
      </w:r>
      <w:r w:rsidR="00B94343">
        <w:rPr>
          <w:bCs/>
          <w:color w:val="000000"/>
          <w:lang w:val="es-ES"/>
        </w:rPr>
        <w:t xml:space="preserve">a través del </w:t>
      </w:r>
      <w:r w:rsidRPr="00C21FF0">
        <w:rPr>
          <w:bCs/>
          <w:color w:val="000000"/>
          <w:lang w:val="es-ES"/>
        </w:rPr>
        <w:t xml:space="preserve">aumento del grado de curado (ΔM). </w:t>
      </w:r>
      <w:r w:rsidR="00DB06CF">
        <w:rPr>
          <w:bCs/>
          <w:color w:val="000000"/>
          <w:lang w:val="es-ES"/>
        </w:rPr>
        <w:t>Además,</w:t>
      </w:r>
      <w:r w:rsidR="00AA7818">
        <w:rPr>
          <w:bCs/>
          <w:color w:val="000000"/>
          <w:lang w:val="es-ES"/>
        </w:rPr>
        <w:t xml:space="preserve"> se puede observar que el polvo de desecho de neumático por chorro de agua (WJ) tiene un efecto reforzante equivalente al del negro de carbono (N330 y N234).</w:t>
      </w:r>
      <w:r w:rsidR="00DB06CF">
        <w:rPr>
          <w:bCs/>
          <w:color w:val="000000"/>
          <w:lang w:val="es-ES"/>
        </w:rPr>
        <w:t xml:space="preserve"> En cuanto a la velocidad de vulcanización, las cargas sostenibles también tienen un efecto positivo, ya que el valor de t90 disminuye y el CRI aumenta considerablemente frente al del compuesto referencia sin carga</w:t>
      </w:r>
      <w:r w:rsidR="001E633E">
        <w:rPr>
          <w:bCs/>
          <w:color w:val="000000"/>
          <w:lang w:val="es-ES"/>
        </w:rPr>
        <w:t xml:space="preserve"> (5ZnO)</w:t>
      </w:r>
      <w:r w:rsidR="00DB06CF">
        <w:rPr>
          <w:bCs/>
          <w:color w:val="000000"/>
          <w:lang w:val="es-ES"/>
        </w:rPr>
        <w:t xml:space="preserve"> o a los compuestos reforzados con CB o Sil. Esto se puede atribuir a la presencia de grupos funcionales oxigenados en la superficie de la celulosa o de</w:t>
      </w:r>
      <w:r w:rsidR="001E633E">
        <w:rPr>
          <w:bCs/>
          <w:color w:val="000000"/>
          <w:lang w:val="es-ES"/>
        </w:rPr>
        <w:t>l</w:t>
      </w:r>
      <w:r w:rsidR="00DB06CF">
        <w:rPr>
          <w:bCs/>
          <w:color w:val="000000"/>
          <w:lang w:val="es-ES"/>
        </w:rPr>
        <w:t xml:space="preserve"> GTR modificado, que aceleran la vulcanización cuando se añaden a cauchos polares como el XNBR</w:t>
      </w:r>
      <w:r w:rsidR="00C34323">
        <w:rPr>
          <w:bCs/>
          <w:color w:val="000000"/>
          <w:lang w:val="es-ES"/>
        </w:rPr>
        <w:t xml:space="preserve"> </w:t>
      </w:r>
      <w:r w:rsidR="00D037F7">
        <w:rPr>
          <w:bCs/>
          <w:color w:val="000000"/>
          <w:lang w:val="es-ES"/>
        </w:rPr>
        <w:t>[1</w:t>
      </w:r>
      <w:r w:rsidR="0068123E">
        <w:rPr>
          <w:bCs/>
          <w:color w:val="000000"/>
          <w:lang w:val="es-ES"/>
        </w:rPr>
        <w:t>0</w:t>
      </w:r>
      <w:r w:rsidR="00D037F7">
        <w:rPr>
          <w:bCs/>
          <w:color w:val="000000"/>
          <w:lang w:val="es-ES"/>
        </w:rPr>
        <w:t>]</w:t>
      </w:r>
      <w:r w:rsidR="00DB06CF">
        <w:rPr>
          <w:bCs/>
          <w:color w:val="000000"/>
          <w:lang w:val="es-ES"/>
        </w:rPr>
        <w:t xml:space="preserve">. </w:t>
      </w:r>
      <w:r w:rsidR="00C34323" w:rsidRPr="00DB06CF">
        <w:rPr>
          <w:color w:val="000000"/>
          <w:lang w:val="es-ES"/>
        </w:rPr>
        <w:t xml:space="preserve">En cuanto a la densidad de entrecruzamiento, se </w:t>
      </w:r>
      <w:r w:rsidR="00C34323">
        <w:rPr>
          <w:color w:val="000000"/>
          <w:lang w:val="es-ES"/>
        </w:rPr>
        <w:t>alcanza</w:t>
      </w:r>
      <w:r w:rsidR="0088213F">
        <w:rPr>
          <w:color w:val="000000"/>
          <w:lang w:val="es-ES"/>
        </w:rPr>
        <w:t>ron</w:t>
      </w:r>
      <w:r w:rsidR="00C34323">
        <w:rPr>
          <w:color w:val="000000"/>
          <w:lang w:val="es-ES"/>
        </w:rPr>
        <w:t xml:space="preserve"> resultados equivalentes entre las cargas convencionales y el GTR. </w:t>
      </w:r>
      <w:r w:rsidR="00C34323" w:rsidRPr="00C34323">
        <w:rPr>
          <w:color w:val="000000"/>
          <w:lang w:val="es-ES"/>
        </w:rPr>
        <w:t xml:space="preserve">En el compuesto a base de celulosa este efecto no </w:t>
      </w:r>
      <w:r w:rsidR="0088213F">
        <w:rPr>
          <w:color w:val="000000"/>
          <w:lang w:val="es-ES"/>
        </w:rPr>
        <w:t>fue</w:t>
      </w:r>
      <w:r w:rsidR="00C34323" w:rsidRPr="00C34323">
        <w:rPr>
          <w:color w:val="000000"/>
          <w:lang w:val="es-ES"/>
        </w:rPr>
        <w:t xml:space="preserve"> tan marcado, probablemente porque </w:t>
      </w:r>
      <w:r w:rsidR="00C34323">
        <w:rPr>
          <w:color w:val="000000"/>
          <w:lang w:val="es-ES"/>
        </w:rPr>
        <w:t xml:space="preserve">predominan </w:t>
      </w:r>
      <w:r w:rsidR="00C34323" w:rsidRPr="00C34323">
        <w:rPr>
          <w:color w:val="000000"/>
          <w:lang w:val="es-ES"/>
        </w:rPr>
        <w:t xml:space="preserve">las interacciones intramoleculares </w:t>
      </w:r>
      <w:r w:rsidR="00C34323">
        <w:rPr>
          <w:color w:val="000000"/>
          <w:lang w:val="es-ES"/>
        </w:rPr>
        <w:t>carga-carga</w:t>
      </w:r>
      <w:r w:rsidR="00C34323" w:rsidRPr="00C34323">
        <w:rPr>
          <w:color w:val="000000"/>
          <w:lang w:val="es-ES"/>
        </w:rPr>
        <w:t xml:space="preserve"> (aglomerados)</w:t>
      </w:r>
      <w:r w:rsidR="00C34323">
        <w:rPr>
          <w:color w:val="000000"/>
          <w:lang w:val="es-ES"/>
        </w:rPr>
        <w:t>.</w:t>
      </w:r>
    </w:p>
    <w:p w14:paraId="3B45F946" w14:textId="080E885E" w:rsidR="007537CB" w:rsidRPr="007537CB" w:rsidRDefault="007537CB" w:rsidP="0068578C">
      <w:pPr>
        <w:jc w:val="center"/>
        <w:rPr>
          <w:bCs/>
          <w:color w:val="000000"/>
          <w:lang w:val="es-ES"/>
        </w:rPr>
      </w:pPr>
      <w:bookmarkStart w:id="1" w:name="_Ref193126584"/>
      <w:r w:rsidRPr="007537CB">
        <w:rPr>
          <w:lang w:val="es-ES"/>
        </w:rPr>
        <w:t xml:space="preserve">Tabla </w:t>
      </w:r>
      <w:r>
        <w:fldChar w:fldCharType="begin"/>
      </w:r>
      <w:r w:rsidRPr="007537CB">
        <w:rPr>
          <w:lang w:val="es-ES"/>
        </w:rPr>
        <w:instrText xml:space="preserve"> SEQ Tabla \* ARABIC </w:instrText>
      </w:r>
      <w:r>
        <w:fldChar w:fldCharType="separate"/>
      </w:r>
      <w:r w:rsidR="006E4536">
        <w:rPr>
          <w:noProof/>
          <w:lang w:val="es-ES"/>
        </w:rPr>
        <w:t>2</w:t>
      </w:r>
      <w:r>
        <w:fldChar w:fldCharType="end"/>
      </w:r>
      <w:bookmarkEnd w:id="1"/>
      <w:r w:rsidRPr="007537CB">
        <w:rPr>
          <w:lang w:val="es-ES"/>
        </w:rPr>
        <w:t>. Propiedades reométricas y</w:t>
      </w:r>
      <w:r>
        <w:rPr>
          <w:lang w:val="es-ES"/>
        </w:rPr>
        <w:t xml:space="preserve"> densidad de entrecruzamiento de los compuestos de </w:t>
      </w:r>
      <w:r w:rsidR="00C34323">
        <w:rPr>
          <w:lang w:val="es-ES"/>
        </w:rPr>
        <w:t>XNBR.</w:t>
      </w: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554"/>
        <w:gridCol w:w="147"/>
        <w:gridCol w:w="923"/>
        <w:gridCol w:w="923"/>
        <w:gridCol w:w="863"/>
        <w:gridCol w:w="58"/>
        <w:gridCol w:w="923"/>
        <w:gridCol w:w="923"/>
        <w:gridCol w:w="922"/>
      </w:tblGrid>
      <w:tr w:rsidR="007537CB" w:rsidRPr="00072192" w14:paraId="74279A7C" w14:textId="77777777" w:rsidTr="000902AE">
        <w:trPr>
          <w:trHeight w:val="575"/>
          <w:jc w:val="center"/>
        </w:trPr>
        <w:tc>
          <w:tcPr>
            <w:tcW w:w="1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94BF0A3" w14:textId="77777777" w:rsidR="007537CB" w:rsidRPr="00072192" w:rsidRDefault="007537CB" w:rsidP="002022A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bookmarkStart w:id="2" w:name="_Hlk153088350"/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15B8D15" w14:textId="77777777" w:rsidR="007537CB" w:rsidRPr="00072192" w:rsidRDefault="007537CB" w:rsidP="002022A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75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0403FBC" w14:textId="7BFD7518" w:rsidR="007537CB" w:rsidRPr="00072192" w:rsidRDefault="00AA7818" w:rsidP="002022A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72192">
              <w:rPr>
                <w:rFonts w:cs="Arial"/>
                <w:b/>
                <w:bCs/>
                <w:sz w:val="20"/>
                <w:szCs w:val="20"/>
              </w:rPr>
              <w:t>Cargas convencionales</w:t>
            </w:r>
          </w:p>
        </w:tc>
        <w:tc>
          <w:tcPr>
            <w:tcW w:w="155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BD9F8B8" w14:textId="2B5FCA9C" w:rsidR="007537CB" w:rsidRPr="00072192" w:rsidRDefault="00AA7818" w:rsidP="002022A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72192">
              <w:rPr>
                <w:rFonts w:cs="Arial"/>
                <w:b/>
                <w:bCs/>
                <w:sz w:val="20"/>
                <w:szCs w:val="20"/>
              </w:rPr>
              <w:t>Cargas sostenibles</w:t>
            </w:r>
          </w:p>
        </w:tc>
      </w:tr>
      <w:tr w:rsidR="000902AE" w:rsidRPr="00072192" w14:paraId="596672CD" w14:textId="77777777" w:rsidTr="000902AE">
        <w:trPr>
          <w:trHeight w:val="467"/>
          <w:jc w:val="center"/>
        </w:trPr>
        <w:tc>
          <w:tcPr>
            <w:tcW w:w="1562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E5E79C3" w14:textId="4F0DF697" w:rsidR="007537CB" w:rsidRPr="00072192" w:rsidRDefault="00AA7818" w:rsidP="002022A6">
            <w:pPr>
              <w:rPr>
                <w:rFonts w:cs="Arial"/>
                <w:b/>
                <w:bCs/>
                <w:sz w:val="20"/>
                <w:szCs w:val="20"/>
              </w:rPr>
            </w:pPr>
            <w:bookmarkStart w:id="3" w:name="_Hlk153086668"/>
            <w:r w:rsidRPr="00072192">
              <w:rPr>
                <w:rFonts w:cs="Arial"/>
                <w:b/>
                <w:bCs/>
                <w:sz w:val="20"/>
                <w:szCs w:val="20"/>
              </w:rPr>
              <w:t>Propiedad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9720B46" w14:textId="77777777" w:rsidR="007537CB" w:rsidRPr="00072192" w:rsidRDefault="007537CB" w:rsidP="002022A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72192">
              <w:rPr>
                <w:rFonts w:cs="Arial"/>
                <w:b/>
                <w:bCs/>
                <w:sz w:val="20"/>
                <w:szCs w:val="20"/>
              </w:rPr>
              <w:t>5ZnO</w:t>
            </w: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72769AD" w14:textId="77777777" w:rsidR="007537CB" w:rsidRPr="00072192" w:rsidRDefault="007537CB" w:rsidP="002022A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72192">
              <w:rPr>
                <w:rFonts w:cs="Arial"/>
                <w:b/>
                <w:bCs/>
                <w:sz w:val="20"/>
                <w:szCs w:val="20"/>
              </w:rPr>
              <w:t>10N234</w:t>
            </w: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E0DE565" w14:textId="77777777" w:rsidR="007537CB" w:rsidRPr="00072192" w:rsidRDefault="007537CB" w:rsidP="002022A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72192">
              <w:rPr>
                <w:rFonts w:cs="Arial"/>
                <w:b/>
                <w:bCs/>
                <w:sz w:val="20"/>
                <w:szCs w:val="20"/>
              </w:rPr>
              <w:t>10N330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6261B79" w14:textId="77777777" w:rsidR="007537CB" w:rsidRPr="00072192" w:rsidRDefault="007537CB" w:rsidP="002022A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72192">
              <w:rPr>
                <w:rFonts w:cs="Arial"/>
                <w:b/>
                <w:bCs/>
                <w:sz w:val="20"/>
                <w:szCs w:val="20"/>
              </w:rPr>
              <w:t>10Sil</w:t>
            </w: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EF8CB3E" w14:textId="77777777" w:rsidR="007537CB" w:rsidRPr="00072192" w:rsidRDefault="007537CB" w:rsidP="002022A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72192">
              <w:rPr>
                <w:rFonts w:cs="Arial"/>
                <w:b/>
                <w:bCs/>
                <w:sz w:val="20"/>
                <w:szCs w:val="20"/>
              </w:rPr>
              <w:t>10Cel</w:t>
            </w: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99A0502" w14:textId="77777777" w:rsidR="007537CB" w:rsidRPr="00072192" w:rsidRDefault="007537CB" w:rsidP="002022A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72192">
              <w:rPr>
                <w:rFonts w:cs="Arial"/>
                <w:b/>
                <w:bCs/>
                <w:sz w:val="20"/>
                <w:szCs w:val="20"/>
              </w:rPr>
              <w:t>10Cryo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4BEDE63" w14:textId="77777777" w:rsidR="007537CB" w:rsidRPr="00072192" w:rsidRDefault="007537CB" w:rsidP="002022A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72192">
              <w:rPr>
                <w:rFonts w:cs="Arial"/>
                <w:b/>
                <w:bCs/>
                <w:sz w:val="20"/>
                <w:szCs w:val="20"/>
              </w:rPr>
              <w:t>10WJ</w:t>
            </w:r>
          </w:p>
        </w:tc>
      </w:tr>
      <w:tr w:rsidR="007537CB" w:rsidRPr="00072192" w14:paraId="666271D7" w14:textId="77777777" w:rsidTr="00DB06CF">
        <w:trPr>
          <w:trHeight w:val="567"/>
          <w:jc w:val="center"/>
        </w:trPr>
        <w:tc>
          <w:tcPr>
            <w:tcW w:w="1562" w:type="pct"/>
            <w:tcBorders>
              <w:top w:val="single" w:sz="4" w:space="0" w:color="auto"/>
            </w:tcBorders>
            <w:vAlign w:val="center"/>
          </w:tcPr>
          <w:p w14:paraId="4A4EFF9C" w14:textId="5BB2E323" w:rsidR="007537CB" w:rsidRPr="00072192" w:rsidRDefault="00AA7818" w:rsidP="002022A6">
            <w:pPr>
              <w:rPr>
                <w:rFonts w:cs="Arial"/>
                <w:sz w:val="20"/>
                <w:szCs w:val="20"/>
              </w:rPr>
            </w:pPr>
            <w:bookmarkStart w:id="4" w:name="_Hlk153151298"/>
            <w:r w:rsidRPr="00072192">
              <w:rPr>
                <w:rFonts w:cs="Arial"/>
                <w:sz w:val="20"/>
                <w:szCs w:val="20"/>
              </w:rPr>
              <w:t>Tiempo scorch</w:t>
            </w:r>
            <w:r w:rsidR="007537CB" w:rsidRPr="00072192">
              <w:rPr>
                <w:rFonts w:cs="Arial"/>
                <w:sz w:val="20"/>
                <w:szCs w:val="20"/>
              </w:rPr>
              <w:t>, ts1 (min)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</w:tcBorders>
            <w:vAlign w:val="center"/>
          </w:tcPr>
          <w:p w14:paraId="53B0D50B" w14:textId="27F13CDC" w:rsidR="007537CB" w:rsidRPr="00072192" w:rsidRDefault="007537CB" w:rsidP="002022A6">
            <w:pPr>
              <w:jc w:val="center"/>
              <w:rPr>
                <w:rFonts w:cs="Arial"/>
                <w:sz w:val="20"/>
                <w:szCs w:val="20"/>
              </w:rPr>
            </w:pPr>
            <w:r w:rsidRPr="00072192">
              <w:rPr>
                <w:rFonts w:cs="Arial"/>
                <w:sz w:val="20"/>
                <w:szCs w:val="20"/>
              </w:rPr>
              <w:t>3</w:t>
            </w:r>
            <w:r w:rsidR="00AA7818" w:rsidRPr="00072192">
              <w:rPr>
                <w:rFonts w:cs="Arial"/>
                <w:sz w:val="20"/>
                <w:szCs w:val="20"/>
              </w:rPr>
              <w:t>,</w:t>
            </w:r>
            <w:r w:rsidRPr="00072192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509" w:type="pct"/>
            <w:tcBorders>
              <w:top w:val="single" w:sz="4" w:space="0" w:color="auto"/>
            </w:tcBorders>
            <w:vAlign w:val="center"/>
          </w:tcPr>
          <w:p w14:paraId="41E9EAE0" w14:textId="00893F07" w:rsidR="007537CB" w:rsidRPr="00072192" w:rsidRDefault="007537CB" w:rsidP="002022A6">
            <w:pPr>
              <w:jc w:val="center"/>
              <w:rPr>
                <w:rFonts w:cs="Arial"/>
                <w:sz w:val="20"/>
                <w:szCs w:val="20"/>
              </w:rPr>
            </w:pPr>
            <w:r w:rsidRPr="00072192">
              <w:rPr>
                <w:rFonts w:cs="Arial"/>
                <w:sz w:val="20"/>
                <w:szCs w:val="20"/>
              </w:rPr>
              <w:t>3</w:t>
            </w:r>
            <w:r w:rsidR="00AA7818" w:rsidRPr="00072192">
              <w:rPr>
                <w:rFonts w:cs="Arial"/>
                <w:sz w:val="20"/>
                <w:szCs w:val="20"/>
              </w:rPr>
              <w:t>,</w:t>
            </w:r>
            <w:r w:rsidRPr="00072192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509" w:type="pct"/>
            <w:tcBorders>
              <w:top w:val="single" w:sz="4" w:space="0" w:color="auto"/>
            </w:tcBorders>
            <w:vAlign w:val="center"/>
          </w:tcPr>
          <w:p w14:paraId="45E47216" w14:textId="373CA63C" w:rsidR="007537CB" w:rsidRPr="00072192" w:rsidRDefault="007537CB" w:rsidP="002022A6">
            <w:pPr>
              <w:jc w:val="center"/>
              <w:rPr>
                <w:rFonts w:cs="Arial"/>
                <w:sz w:val="20"/>
                <w:szCs w:val="20"/>
              </w:rPr>
            </w:pPr>
            <w:r w:rsidRPr="00072192">
              <w:rPr>
                <w:rFonts w:cs="Arial"/>
                <w:sz w:val="20"/>
                <w:szCs w:val="20"/>
              </w:rPr>
              <w:t>3</w:t>
            </w:r>
            <w:r w:rsidR="00AA7818" w:rsidRPr="00072192">
              <w:rPr>
                <w:rFonts w:cs="Arial"/>
                <w:sz w:val="20"/>
                <w:szCs w:val="20"/>
              </w:rPr>
              <w:t>,</w:t>
            </w:r>
            <w:r w:rsidRPr="0007219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</w:tcBorders>
            <w:vAlign w:val="center"/>
          </w:tcPr>
          <w:p w14:paraId="67F9803E" w14:textId="2F238040" w:rsidR="007537CB" w:rsidRPr="00072192" w:rsidRDefault="007537CB" w:rsidP="002022A6">
            <w:pPr>
              <w:jc w:val="center"/>
              <w:rPr>
                <w:rFonts w:cs="Arial"/>
                <w:sz w:val="20"/>
                <w:szCs w:val="20"/>
              </w:rPr>
            </w:pPr>
            <w:r w:rsidRPr="00072192">
              <w:rPr>
                <w:rFonts w:cs="Arial"/>
                <w:sz w:val="20"/>
                <w:szCs w:val="20"/>
              </w:rPr>
              <w:t>2</w:t>
            </w:r>
            <w:r w:rsidR="00AA7818" w:rsidRPr="00072192">
              <w:rPr>
                <w:rFonts w:cs="Arial"/>
                <w:sz w:val="20"/>
                <w:szCs w:val="20"/>
              </w:rPr>
              <w:t>,</w:t>
            </w:r>
            <w:r w:rsidRPr="00072192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509" w:type="pct"/>
            <w:tcBorders>
              <w:top w:val="single" w:sz="4" w:space="0" w:color="auto"/>
            </w:tcBorders>
            <w:vAlign w:val="center"/>
          </w:tcPr>
          <w:p w14:paraId="69B9CAF3" w14:textId="7B9CBC38" w:rsidR="007537CB" w:rsidRPr="00072192" w:rsidRDefault="007537CB" w:rsidP="002022A6">
            <w:pPr>
              <w:jc w:val="center"/>
              <w:rPr>
                <w:rFonts w:cs="Arial"/>
                <w:sz w:val="20"/>
                <w:szCs w:val="20"/>
              </w:rPr>
            </w:pPr>
            <w:r w:rsidRPr="00072192">
              <w:rPr>
                <w:rFonts w:cs="Arial"/>
                <w:sz w:val="20"/>
                <w:szCs w:val="20"/>
              </w:rPr>
              <w:t>3</w:t>
            </w:r>
            <w:r w:rsidR="00AA7818" w:rsidRPr="00072192">
              <w:rPr>
                <w:rFonts w:cs="Arial"/>
                <w:sz w:val="20"/>
                <w:szCs w:val="20"/>
              </w:rPr>
              <w:t>,</w:t>
            </w:r>
            <w:r w:rsidRPr="00072192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</w:tcBorders>
            <w:vAlign w:val="center"/>
          </w:tcPr>
          <w:p w14:paraId="17ABB2DB" w14:textId="26D74567" w:rsidR="007537CB" w:rsidRPr="00072192" w:rsidRDefault="007537CB" w:rsidP="002022A6">
            <w:pPr>
              <w:jc w:val="center"/>
              <w:rPr>
                <w:rFonts w:cs="Arial"/>
                <w:sz w:val="20"/>
                <w:szCs w:val="20"/>
              </w:rPr>
            </w:pPr>
            <w:r w:rsidRPr="00072192">
              <w:rPr>
                <w:rFonts w:cs="Arial"/>
                <w:sz w:val="20"/>
                <w:szCs w:val="20"/>
              </w:rPr>
              <w:t>1</w:t>
            </w:r>
            <w:r w:rsidR="00AA7818" w:rsidRPr="00072192">
              <w:rPr>
                <w:rFonts w:cs="Arial"/>
                <w:sz w:val="20"/>
                <w:szCs w:val="20"/>
              </w:rPr>
              <w:t>,</w:t>
            </w:r>
            <w:r w:rsidRPr="00072192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508" w:type="pct"/>
            <w:tcBorders>
              <w:top w:val="single" w:sz="4" w:space="0" w:color="auto"/>
            </w:tcBorders>
            <w:vAlign w:val="center"/>
          </w:tcPr>
          <w:p w14:paraId="30F94896" w14:textId="0C242A71" w:rsidR="007537CB" w:rsidRPr="00072192" w:rsidRDefault="007537CB" w:rsidP="002022A6">
            <w:pPr>
              <w:jc w:val="center"/>
              <w:rPr>
                <w:rFonts w:cs="Arial"/>
                <w:sz w:val="20"/>
                <w:szCs w:val="20"/>
              </w:rPr>
            </w:pPr>
            <w:r w:rsidRPr="00072192">
              <w:rPr>
                <w:rFonts w:cs="Arial"/>
                <w:sz w:val="20"/>
                <w:szCs w:val="20"/>
              </w:rPr>
              <w:t>1</w:t>
            </w:r>
            <w:r w:rsidR="00AA7818" w:rsidRPr="00072192">
              <w:rPr>
                <w:rFonts w:cs="Arial"/>
                <w:sz w:val="20"/>
                <w:szCs w:val="20"/>
              </w:rPr>
              <w:t>,</w:t>
            </w:r>
            <w:r w:rsidRPr="00072192">
              <w:rPr>
                <w:rFonts w:cs="Arial"/>
                <w:sz w:val="20"/>
                <w:szCs w:val="20"/>
              </w:rPr>
              <w:t>1</w:t>
            </w:r>
          </w:p>
        </w:tc>
      </w:tr>
      <w:tr w:rsidR="007537CB" w:rsidRPr="00072192" w14:paraId="71685AC5" w14:textId="77777777" w:rsidTr="00DB06CF">
        <w:trPr>
          <w:trHeight w:val="567"/>
          <w:jc w:val="center"/>
        </w:trPr>
        <w:tc>
          <w:tcPr>
            <w:tcW w:w="1562" w:type="pct"/>
            <w:vAlign w:val="center"/>
          </w:tcPr>
          <w:p w14:paraId="69B62CA7" w14:textId="3083F193" w:rsidR="007537CB" w:rsidRPr="00072192" w:rsidRDefault="00AA7818" w:rsidP="002022A6">
            <w:pPr>
              <w:rPr>
                <w:rFonts w:cs="Arial"/>
                <w:sz w:val="20"/>
                <w:szCs w:val="20"/>
              </w:rPr>
            </w:pPr>
            <w:r w:rsidRPr="00072192">
              <w:rPr>
                <w:rFonts w:cs="Arial"/>
                <w:sz w:val="20"/>
                <w:szCs w:val="20"/>
              </w:rPr>
              <w:t>Tiempo de curado</w:t>
            </w:r>
            <w:r w:rsidR="007537CB" w:rsidRPr="00072192">
              <w:rPr>
                <w:rFonts w:cs="Arial"/>
                <w:sz w:val="20"/>
                <w:szCs w:val="20"/>
              </w:rPr>
              <w:t>, t90 (min)</w:t>
            </w:r>
          </w:p>
        </w:tc>
        <w:tc>
          <w:tcPr>
            <w:tcW w:w="386" w:type="pct"/>
            <w:gridSpan w:val="2"/>
            <w:vAlign w:val="center"/>
          </w:tcPr>
          <w:p w14:paraId="0CDC03EC" w14:textId="6BAE4858" w:rsidR="007537CB" w:rsidRPr="00072192" w:rsidRDefault="007537CB" w:rsidP="002022A6">
            <w:pPr>
              <w:jc w:val="center"/>
              <w:rPr>
                <w:rFonts w:cs="Arial"/>
                <w:sz w:val="20"/>
                <w:szCs w:val="20"/>
              </w:rPr>
            </w:pPr>
            <w:r w:rsidRPr="00072192">
              <w:rPr>
                <w:rFonts w:cs="Arial"/>
                <w:sz w:val="20"/>
                <w:szCs w:val="20"/>
              </w:rPr>
              <w:t>9</w:t>
            </w:r>
            <w:r w:rsidR="00AA7818" w:rsidRPr="00072192">
              <w:rPr>
                <w:rFonts w:cs="Arial"/>
                <w:sz w:val="20"/>
                <w:szCs w:val="20"/>
              </w:rPr>
              <w:t>,</w:t>
            </w:r>
            <w:r w:rsidRPr="00072192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509" w:type="pct"/>
            <w:vAlign w:val="center"/>
          </w:tcPr>
          <w:p w14:paraId="6F8F34DF" w14:textId="41D5AE6C" w:rsidR="007537CB" w:rsidRPr="00072192" w:rsidRDefault="007537CB" w:rsidP="002022A6">
            <w:pPr>
              <w:jc w:val="center"/>
              <w:rPr>
                <w:rFonts w:cs="Arial"/>
                <w:sz w:val="20"/>
                <w:szCs w:val="20"/>
              </w:rPr>
            </w:pPr>
            <w:r w:rsidRPr="00072192">
              <w:rPr>
                <w:rFonts w:cs="Arial"/>
                <w:sz w:val="20"/>
                <w:szCs w:val="20"/>
              </w:rPr>
              <w:t>11</w:t>
            </w:r>
            <w:r w:rsidR="00AA7818" w:rsidRPr="00072192">
              <w:rPr>
                <w:rFonts w:cs="Arial"/>
                <w:sz w:val="20"/>
                <w:szCs w:val="20"/>
              </w:rPr>
              <w:t>,</w:t>
            </w:r>
            <w:r w:rsidRPr="00072192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509" w:type="pct"/>
            <w:vAlign w:val="center"/>
          </w:tcPr>
          <w:p w14:paraId="63EC3B6E" w14:textId="0A8C124A" w:rsidR="007537CB" w:rsidRPr="00072192" w:rsidRDefault="007537CB" w:rsidP="002022A6">
            <w:pPr>
              <w:jc w:val="center"/>
              <w:rPr>
                <w:rFonts w:cs="Arial"/>
                <w:sz w:val="20"/>
                <w:szCs w:val="20"/>
              </w:rPr>
            </w:pPr>
            <w:r w:rsidRPr="00072192">
              <w:rPr>
                <w:rFonts w:cs="Arial"/>
                <w:sz w:val="20"/>
                <w:szCs w:val="20"/>
              </w:rPr>
              <w:t>11</w:t>
            </w:r>
            <w:r w:rsidR="00AA7818" w:rsidRPr="00072192">
              <w:rPr>
                <w:rFonts w:cs="Arial"/>
                <w:sz w:val="20"/>
                <w:szCs w:val="20"/>
              </w:rPr>
              <w:t>,</w:t>
            </w:r>
            <w:r w:rsidRPr="00072192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508" w:type="pct"/>
            <w:gridSpan w:val="2"/>
            <w:vAlign w:val="center"/>
          </w:tcPr>
          <w:p w14:paraId="78B0E4DE" w14:textId="1BD969C2" w:rsidR="007537CB" w:rsidRPr="00072192" w:rsidRDefault="007537CB" w:rsidP="002022A6">
            <w:pPr>
              <w:jc w:val="center"/>
              <w:rPr>
                <w:rFonts w:cs="Arial"/>
                <w:sz w:val="20"/>
                <w:szCs w:val="20"/>
              </w:rPr>
            </w:pPr>
            <w:r w:rsidRPr="00072192">
              <w:rPr>
                <w:rFonts w:cs="Arial"/>
                <w:sz w:val="20"/>
                <w:szCs w:val="20"/>
              </w:rPr>
              <w:t>10</w:t>
            </w:r>
            <w:r w:rsidR="00AA7818" w:rsidRPr="00072192">
              <w:rPr>
                <w:rFonts w:cs="Arial"/>
                <w:sz w:val="20"/>
                <w:szCs w:val="20"/>
              </w:rPr>
              <w:t>,</w:t>
            </w:r>
            <w:r w:rsidRPr="00072192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509" w:type="pct"/>
            <w:vAlign w:val="center"/>
          </w:tcPr>
          <w:p w14:paraId="354906CB" w14:textId="655872DA" w:rsidR="007537CB" w:rsidRPr="00072192" w:rsidRDefault="007537CB" w:rsidP="002022A6">
            <w:pPr>
              <w:jc w:val="center"/>
              <w:rPr>
                <w:rFonts w:cs="Arial"/>
                <w:sz w:val="20"/>
                <w:szCs w:val="20"/>
              </w:rPr>
            </w:pPr>
            <w:r w:rsidRPr="00072192">
              <w:rPr>
                <w:rFonts w:cs="Arial"/>
                <w:sz w:val="20"/>
                <w:szCs w:val="20"/>
              </w:rPr>
              <w:t>8</w:t>
            </w:r>
            <w:r w:rsidR="00AA7818" w:rsidRPr="00072192">
              <w:rPr>
                <w:rFonts w:cs="Arial"/>
                <w:sz w:val="20"/>
                <w:szCs w:val="20"/>
              </w:rPr>
              <w:t>,</w:t>
            </w:r>
            <w:r w:rsidRPr="0007219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509" w:type="pct"/>
            <w:vAlign w:val="center"/>
          </w:tcPr>
          <w:p w14:paraId="4D96742F" w14:textId="2BBF9D9D" w:rsidR="007537CB" w:rsidRPr="00072192" w:rsidRDefault="007537CB" w:rsidP="002022A6">
            <w:pPr>
              <w:jc w:val="center"/>
              <w:rPr>
                <w:rFonts w:cs="Arial"/>
                <w:sz w:val="20"/>
                <w:szCs w:val="20"/>
              </w:rPr>
            </w:pPr>
            <w:r w:rsidRPr="00072192">
              <w:rPr>
                <w:rFonts w:cs="Arial"/>
                <w:sz w:val="20"/>
                <w:szCs w:val="20"/>
              </w:rPr>
              <w:t>2</w:t>
            </w:r>
            <w:r w:rsidR="00AA7818" w:rsidRPr="00072192">
              <w:rPr>
                <w:rFonts w:cs="Arial"/>
                <w:sz w:val="20"/>
                <w:szCs w:val="20"/>
              </w:rPr>
              <w:t>,</w:t>
            </w:r>
            <w:r w:rsidRPr="00072192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508" w:type="pct"/>
            <w:vAlign w:val="center"/>
          </w:tcPr>
          <w:p w14:paraId="1FF41222" w14:textId="4C044178" w:rsidR="007537CB" w:rsidRPr="00072192" w:rsidRDefault="007537CB" w:rsidP="002022A6">
            <w:pPr>
              <w:jc w:val="center"/>
              <w:rPr>
                <w:rFonts w:cs="Arial"/>
                <w:sz w:val="20"/>
                <w:szCs w:val="20"/>
              </w:rPr>
            </w:pPr>
            <w:r w:rsidRPr="00072192">
              <w:rPr>
                <w:rFonts w:cs="Arial"/>
                <w:sz w:val="20"/>
                <w:szCs w:val="20"/>
              </w:rPr>
              <w:t>3</w:t>
            </w:r>
            <w:r w:rsidR="00AA7818" w:rsidRPr="00072192">
              <w:rPr>
                <w:rFonts w:cs="Arial"/>
                <w:sz w:val="20"/>
                <w:szCs w:val="20"/>
              </w:rPr>
              <w:t>,</w:t>
            </w:r>
            <w:r w:rsidRPr="00072192">
              <w:rPr>
                <w:rFonts w:cs="Arial"/>
                <w:sz w:val="20"/>
                <w:szCs w:val="20"/>
              </w:rPr>
              <w:t>9</w:t>
            </w:r>
          </w:p>
        </w:tc>
      </w:tr>
      <w:tr w:rsidR="007537CB" w:rsidRPr="00072192" w14:paraId="02CCD493" w14:textId="77777777" w:rsidTr="00DB06CF">
        <w:trPr>
          <w:trHeight w:val="567"/>
          <w:jc w:val="center"/>
        </w:trPr>
        <w:tc>
          <w:tcPr>
            <w:tcW w:w="1562" w:type="pct"/>
            <w:vAlign w:val="center"/>
          </w:tcPr>
          <w:p w14:paraId="4B6F2F27" w14:textId="4579B260" w:rsidR="007537CB" w:rsidRPr="00072192" w:rsidRDefault="00AA7818" w:rsidP="002022A6">
            <w:pPr>
              <w:rPr>
                <w:rFonts w:cs="Arial"/>
                <w:sz w:val="20"/>
                <w:szCs w:val="20"/>
              </w:rPr>
            </w:pPr>
            <w:r w:rsidRPr="00072192">
              <w:rPr>
                <w:rFonts w:cs="Arial"/>
                <w:sz w:val="20"/>
                <w:szCs w:val="20"/>
              </w:rPr>
              <w:t>Torque mínimo</w:t>
            </w:r>
            <w:r w:rsidR="007537CB" w:rsidRPr="00072192">
              <w:rPr>
                <w:rFonts w:cs="Arial"/>
                <w:sz w:val="20"/>
                <w:szCs w:val="20"/>
              </w:rPr>
              <w:t>, ML (dNm)</w:t>
            </w:r>
          </w:p>
        </w:tc>
        <w:tc>
          <w:tcPr>
            <w:tcW w:w="386" w:type="pct"/>
            <w:gridSpan w:val="2"/>
            <w:vAlign w:val="center"/>
          </w:tcPr>
          <w:p w14:paraId="0370C11D" w14:textId="5976F2B0" w:rsidR="007537CB" w:rsidRPr="00072192" w:rsidRDefault="007537CB" w:rsidP="002022A6">
            <w:pPr>
              <w:jc w:val="center"/>
              <w:rPr>
                <w:rFonts w:cs="Arial"/>
                <w:sz w:val="20"/>
                <w:szCs w:val="20"/>
              </w:rPr>
            </w:pPr>
            <w:r w:rsidRPr="00072192">
              <w:rPr>
                <w:rFonts w:cs="Arial"/>
                <w:sz w:val="20"/>
                <w:szCs w:val="20"/>
              </w:rPr>
              <w:t>0</w:t>
            </w:r>
            <w:r w:rsidR="00AA7818" w:rsidRPr="00072192">
              <w:rPr>
                <w:rFonts w:cs="Arial"/>
                <w:sz w:val="20"/>
                <w:szCs w:val="20"/>
              </w:rPr>
              <w:t>,</w:t>
            </w:r>
            <w:r w:rsidRPr="0007219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509" w:type="pct"/>
            <w:vAlign w:val="center"/>
          </w:tcPr>
          <w:p w14:paraId="17AD3620" w14:textId="68F10F53" w:rsidR="007537CB" w:rsidRPr="00072192" w:rsidRDefault="007537CB" w:rsidP="002022A6">
            <w:pPr>
              <w:jc w:val="center"/>
              <w:rPr>
                <w:rFonts w:cs="Arial"/>
                <w:sz w:val="20"/>
                <w:szCs w:val="20"/>
              </w:rPr>
            </w:pPr>
            <w:r w:rsidRPr="00072192">
              <w:rPr>
                <w:rFonts w:cs="Arial"/>
                <w:sz w:val="20"/>
                <w:szCs w:val="20"/>
              </w:rPr>
              <w:t>0</w:t>
            </w:r>
            <w:r w:rsidR="00AA7818" w:rsidRPr="00072192">
              <w:rPr>
                <w:rFonts w:cs="Arial"/>
                <w:sz w:val="20"/>
                <w:szCs w:val="20"/>
              </w:rPr>
              <w:t>,</w:t>
            </w:r>
            <w:r w:rsidRPr="0007219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509" w:type="pct"/>
            <w:vAlign w:val="center"/>
          </w:tcPr>
          <w:p w14:paraId="6B023321" w14:textId="446798BC" w:rsidR="007537CB" w:rsidRPr="00072192" w:rsidRDefault="007537CB" w:rsidP="002022A6">
            <w:pPr>
              <w:jc w:val="center"/>
              <w:rPr>
                <w:rFonts w:cs="Arial"/>
                <w:sz w:val="20"/>
                <w:szCs w:val="20"/>
              </w:rPr>
            </w:pPr>
            <w:r w:rsidRPr="00072192">
              <w:rPr>
                <w:rFonts w:cs="Arial"/>
                <w:sz w:val="20"/>
                <w:szCs w:val="20"/>
              </w:rPr>
              <w:t>0</w:t>
            </w:r>
            <w:r w:rsidR="00AA7818" w:rsidRPr="00072192">
              <w:rPr>
                <w:rFonts w:cs="Arial"/>
                <w:sz w:val="20"/>
                <w:szCs w:val="20"/>
              </w:rPr>
              <w:t>,</w:t>
            </w:r>
            <w:r w:rsidRPr="0007219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508" w:type="pct"/>
            <w:gridSpan w:val="2"/>
            <w:vAlign w:val="center"/>
          </w:tcPr>
          <w:p w14:paraId="4E705A18" w14:textId="2A8DD4D2" w:rsidR="007537CB" w:rsidRPr="00072192" w:rsidRDefault="007537CB" w:rsidP="002022A6">
            <w:pPr>
              <w:jc w:val="center"/>
              <w:rPr>
                <w:rFonts w:cs="Arial"/>
                <w:sz w:val="20"/>
                <w:szCs w:val="20"/>
              </w:rPr>
            </w:pPr>
            <w:r w:rsidRPr="00072192">
              <w:rPr>
                <w:rFonts w:cs="Arial"/>
                <w:sz w:val="20"/>
                <w:szCs w:val="20"/>
              </w:rPr>
              <w:t>0</w:t>
            </w:r>
            <w:r w:rsidR="00AA7818" w:rsidRPr="00072192">
              <w:rPr>
                <w:rFonts w:cs="Arial"/>
                <w:sz w:val="20"/>
                <w:szCs w:val="20"/>
              </w:rPr>
              <w:t>,</w:t>
            </w:r>
            <w:r w:rsidRPr="0007219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509" w:type="pct"/>
            <w:vAlign w:val="center"/>
          </w:tcPr>
          <w:p w14:paraId="473D3425" w14:textId="556E4D3E" w:rsidR="007537CB" w:rsidRPr="00072192" w:rsidRDefault="007537CB" w:rsidP="002022A6">
            <w:pPr>
              <w:jc w:val="center"/>
              <w:rPr>
                <w:rFonts w:cs="Arial"/>
                <w:sz w:val="20"/>
                <w:szCs w:val="20"/>
              </w:rPr>
            </w:pPr>
            <w:r w:rsidRPr="00072192">
              <w:rPr>
                <w:rFonts w:cs="Arial"/>
                <w:sz w:val="20"/>
                <w:szCs w:val="20"/>
              </w:rPr>
              <w:t>0</w:t>
            </w:r>
            <w:r w:rsidR="00AA7818" w:rsidRPr="00072192">
              <w:rPr>
                <w:rFonts w:cs="Arial"/>
                <w:sz w:val="20"/>
                <w:szCs w:val="20"/>
              </w:rPr>
              <w:t>,</w:t>
            </w:r>
            <w:r w:rsidRPr="0007219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509" w:type="pct"/>
            <w:vAlign w:val="center"/>
          </w:tcPr>
          <w:p w14:paraId="120638B9" w14:textId="32081DEA" w:rsidR="007537CB" w:rsidRPr="00072192" w:rsidRDefault="007537CB" w:rsidP="002022A6">
            <w:pPr>
              <w:jc w:val="center"/>
              <w:rPr>
                <w:rFonts w:cs="Arial"/>
                <w:sz w:val="20"/>
                <w:szCs w:val="20"/>
              </w:rPr>
            </w:pPr>
            <w:r w:rsidRPr="00072192">
              <w:rPr>
                <w:rFonts w:cs="Arial"/>
                <w:sz w:val="20"/>
                <w:szCs w:val="20"/>
              </w:rPr>
              <w:t>0</w:t>
            </w:r>
            <w:r w:rsidR="00AA7818" w:rsidRPr="00072192">
              <w:rPr>
                <w:rFonts w:cs="Arial"/>
                <w:sz w:val="20"/>
                <w:szCs w:val="20"/>
              </w:rPr>
              <w:t>,</w:t>
            </w:r>
            <w:r w:rsidRPr="00072192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508" w:type="pct"/>
            <w:vAlign w:val="center"/>
          </w:tcPr>
          <w:p w14:paraId="13BADD6A" w14:textId="7E9DDA15" w:rsidR="007537CB" w:rsidRPr="00072192" w:rsidRDefault="007537CB" w:rsidP="002022A6">
            <w:pPr>
              <w:jc w:val="center"/>
              <w:rPr>
                <w:rFonts w:cs="Arial"/>
                <w:sz w:val="20"/>
                <w:szCs w:val="20"/>
              </w:rPr>
            </w:pPr>
            <w:r w:rsidRPr="00072192">
              <w:rPr>
                <w:rFonts w:cs="Arial"/>
                <w:sz w:val="20"/>
                <w:szCs w:val="20"/>
              </w:rPr>
              <w:t>0</w:t>
            </w:r>
            <w:r w:rsidR="00AA7818" w:rsidRPr="00072192">
              <w:rPr>
                <w:rFonts w:cs="Arial"/>
                <w:sz w:val="20"/>
                <w:szCs w:val="20"/>
              </w:rPr>
              <w:t>,</w:t>
            </w:r>
            <w:r w:rsidRPr="00072192">
              <w:rPr>
                <w:rFonts w:cs="Arial"/>
                <w:sz w:val="20"/>
                <w:szCs w:val="20"/>
              </w:rPr>
              <w:t>5</w:t>
            </w:r>
          </w:p>
        </w:tc>
      </w:tr>
      <w:tr w:rsidR="007537CB" w:rsidRPr="00072192" w14:paraId="164AC376" w14:textId="77777777" w:rsidTr="00DB06CF">
        <w:trPr>
          <w:trHeight w:val="567"/>
          <w:jc w:val="center"/>
        </w:trPr>
        <w:tc>
          <w:tcPr>
            <w:tcW w:w="1562" w:type="pct"/>
            <w:vAlign w:val="center"/>
          </w:tcPr>
          <w:p w14:paraId="0703AD33" w14:textId="7A11453A" w:rsidR="007537CB" w:rsidRPr="00072192" w:rsidRDefault="00AA7818" w:rsidP="002022A6">
            <w:pPr>
              <w:rPr>
                <w:rFonts w:cs="Arial"/>
                <w:sz w:val="20"/>
                <w:szCs w:val="20"/>
              </w:rPr>
            </w:pPr>
            <w:r w:rsidRPr="00072192">
              <w:rPr>
                <w:rFonts w:cs="Arial"/>
                <w:sz w:val="20"/>
                <w:szCs w:val="20"/>
              </w:rPr>
              <w:t>Torque máximo</w:t>
            </w:r>
            <w:r w:rsidR="007537CB" w:rsidRPr="00072192">
              <w:rPr>
                <w:rFonts w:cs="Arial"/>
                <w:sz w:val="20"/>
                <w:szCs w:val="20"/>
              </w:rPr>
              <w:t>, MH (dNm)</w:t>
            </w:r>
          </w:p>
        </w:tc>
        <w:tc>
          <w:tcPr>
            <w:tcW w:w="386" w:type="pct"/>
            <w:gridSpan w:val="2"/>
            <w:vAlign w:val="center"/>
          </w:tcPr>
          <w:p w14:paraId="33182DEF" w14:textId="6DDDA9F8" w:rsidR="007537CB" w:rsidRPr="00072192" w:rsidRDefault="007537CB" w:rsidP="002022A6">
            <w:pPr>
              <w:jc w:val="center"/>
              <w:rPr>
                <w:rFonts w:cs="Arial"/>
                <w:sz w:val="20"/>
                <w:szCs w:val="20"/>
              </w:rPr>
            </w:pPr>
            <w:r w:rsidRPr="00072192">
              <w:rPr>
                <w:rFonts w:cs="Arial"/>
                <w:sz w:val="20"/>
                <w:szCs w:val="20"/>
              </w:rPr>
              <w:t>4</w:t>
            </w:r>
            <w:r w:rsidR="00AA7818" w:rsidRPr="00072192">
              <w:rPr>
                <w:rFonts w:cs="Arial"/>
                <w:sz w:val="20"/>
                <w:szCs w:val="20"/>
              </w:rPr>
              <w:t>,</w:t>
            </w:r>
            <w:r w:rsidRPr="00072192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509" w:type="pct"/>
            <w:vAlign w:val="center"/>
          </w:tcPr>
          <w:p w14:paraId="41A70155" w14:textId="6E5388AB" w:rsidR="007537CB" w:rsidRPr="00072192" w:rsidRDefault="007537CB" w:rsidP="002022A6">
            <w:pPr>
              <w:jc w:val="center"/>
              <w:rPr>
                <w:rFonts w:cs="Arial"/>
                <w:sz w:val="20"/>
                <w:szCs w:val="20"/>
              </w:rPr>
            </w:pPr>
            <w:r w:rsidRPr="00072192">
              <w:rPr>
                <w:rFonts w:cs="Arial"/>
                <w:sz w:val="20"/>
                <w:szCs w:val="20"/>
              </w:rPr>
              <w:t>5</w:t>
            </w:r>
            <w:r w:rsidR="00AA7818" w:rsidRPr="00072192">
              <w:rPr>
                <w:rFonts w:cs="Arial"/>
                <w:sz w:val="20"/>
                <w:szCs w:val="20"/>
              </w:rPr>
              <w:t>,</w:t>
            </w:r>
            <w:r w:rsidRPr="00072192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509" w:type="pct"/>
            <w:vAlign w:val="center"/>
          </w:tcPr>
          <w:p w14:paraId="3EEAEA77" w14:textId="72EB576B" w:rsidR="007537CB" w:rsidRPr="00072192" w:rsidRDefault="007537CB" w:rsidP="002022A6">
            <w:pPr>
              <w:jc w:val="center"/>
              <w:rPr>
                <w:rFonts w:cs="Arial"/>
                <w:sz w:val="20"/>
                <w:szCs w:val="20"/>
              </w:rPr>
            </w:pPr>
            <w:r w:rsidRPr="00072192">
              <w:rPr>
                <w:rFonts w:cs="Arial"/>
                <w:sz w:val="20"/>
                <w:szCs w:val="20"/>
              </w:rPr>
              <w:t>5</w:t>
            </w:r>
            <w:r w:rsidR="00AA7818" w:rsidRPr="00072192">
              <w:rPr>
                <w:rFonts w:cs="Arial"/>
                <w:sz w:val="20"/>
                <w:szCs w:val="20"/>
              </w:rPr>
              <w:t>,</w:t>
            </w:r>
            <w:r w:rsidRPr="00072192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508" w:type="pct"/>
            <w:gridSpan w:val="2"/>
            <w:vAlign w:val="center"/>
          </w:tcPr>
          <w:p w14:paraId="5531AB73" w14:textId="26DA5FE4" w:rsidR="007537CB" w:rsidRPr="00072192" w:rsidRDefault="007537CB" w:rsidP="002022A6">
            <w:pPr>
              <w:jc w:val="center"/>
              <w:rPr>
                <w:rFonts w:cs="Arial"/>
                <w:sz w:val="20"/>
                <w:szCs w:val="20"/>
              </w:rPr>
            </w:pPr>
            <w:r w:rsidRPr="00072192">
              <w:rPr>
                <w:rFonts w:cs="Arial"/>
                <w:sz w:val="20"/>
                <w:szCs w:val="20"/>
              </w:rPr>
              <w:t>5</w:t>
            </w:r>
            <w:r w:rsidR="00AA7818" w:rsidRPr="00072192">
              <w:rPr>
                <w:rFonts w:cs="Arial"/>
                <w:sz w:val="20"/>
                <w:szCs w:val="20"/>
              </w:rPr>
              <w:t>,</w:t>
            </w:r>
            <w:r w:rsidRPr="00072192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09" w:type="pct"/>
            <w:vAlign w:val="center"/>
          </w:tcPr>
          <w:p w14:paraId="6D8B3AE8" w14:textId="0C7F49EE" w:rsidR="007537CB" w:rsidRPr="00072192" w:rsidRDefault="007537CB" w:rsidP="002022A6">
            <w:pPr>
              <w:jc w:val="center"/>
              <w:rPr>
                <w:rFonts w:cs="Arial"/>
                <w:sz w:val="20"/>
                <w:szCs w:val="20"/>
              </w:rPr>
            </w:pPr>
            <w:r w:rsidRPr="00072192">
              <w:rPr>
                <w:rFonts w:cs="Arial"/>
                <w:sz w:val="20"/>
                <w:szCs w:val="20"/>
              </w:rPr>
              <w:t>5</w:t>
            </w:r>
            <w:r w:rsidR="00AA7818" w:rsidRPr="00072192">
              <w:rPr>
                <w:rFonts w:cs="Arial"/>
                <w:sz w:val="20"/>
                <w:szCs w:val="20"/>
              </w:rPr>
              <w:t>,</w:t>
            </w:r>
            <w:r w:rsidRPr="00072192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09" w:type="pct"/>
            <w:vAlign w:val="center"/>
          </w:tcPr>
          <w:p w14:paraId="115FD836" w14:textId="6C26232C" w:rsidR="007537CB" w:rsidRPr="00072192" w:rsidRDefault="007537CB" w:rsidP="002022A6">
            <w:pPr>
              <w:jc w:val="center"/>
              <w:rPr>
                <w:rFonts w:cs="Arial"/>
                <w:sz w:val="20"/>
                <w:szCs w:val="20"/>
              </w:rPr>
            </w:pPr>
            <w:r w:rsidRPr="00072192">
              <w:rPr>
                <w:rFonts w:cs="Arial"/>
                <w:sz w:val="20"/>
                <w:szCs w:val="20"/>
              </w:rPr>
              <w:t>5</w:t>
            </w:r>
            <w:r w:rsidR="00AA7818" w:rsidRPr="00072192">
              <w:rPr>
                <w:rFonts w:cs="Arial"/>
                <w:sz w:val="20"/>
                <w:szCs w:val="20"/>
              </w:rPr>
              <w:t>,</w:t>
            </w:r>
            <w:r w:rsidRPr="00072192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508" w:type="pct"/>
            <w:vAlign w:val="center"/>
          </w:tcPr>
          <w:p w14:paraId="24F641E5" w14:textId="06A4EC1E" w:rsidR="007537CB" w:rsidRPr="00072192" w:rsidRDefault="007537CB" w:rsidP="002022A6">
            <w:pPr>
              <w:jc w:val="center"/>
              <w:rPr>
                <w:rFonts w:cs="Arial"/>
                <w:sz w:val="20"/>
                <w:szCs w:val="20"/>
              </w:rPr>
            </w:pPr>
            <w:r w:rsidRPr="00072192">
              <w:rPr>
                <w:rFonts w:cs="Arial"/>
                <w:sz w:val="20"/>
                <w:szCs w:val="20"/>
              </w:rPr>
              <w:t>5</w:t>
            </w:r>
            <w:r w:rsidR="00AA7818" w:rsidRPr="00072192">
              <w:rPr>
                <w:rFonts w:cs="Arial"/>
                <w:sz w:val="20"/>
                <w:szCs w:val="20"/>
              </w:rPr>
              <w:t>,</w:t>
            </w:r>
            <w:r w:rsidRPr="00072192">
              <w:rPr>
                <w:rFonts w:cs="Arial"/>
                <w:sz w:val="20"/>
                <w:szCs w:val="20"/>
              </w:rPr>
              <w:t>4</w:t>
            </w:r>
          </w:p>
        </w:tc>
      </w:tr>
      <w:tr w:rsidR="007537CB" w:rsidRPr="00072192" w14:paraId="525F0795" w14:textId="77777777" w:rsidTr="00DB06CF">
        <w:trPr>
          <w:trHeight w:val="567"/>
          <w:jc w:val="center"/>
        </w:trPr>
        <w:tc>
          <w:tcPr>
            <w:tcW w:w="1562" w:type="pct"/>
            <w:vAlign w:val="center"/>
          </w:tcPr>
          <w:p w14:paraId="4D395477" w14:textId="77777777" w:rsidR="007537CB" w:rsidRPr="00072192" w:rsidRDefault="007537CB" w:rsidP="002022A6">
            <w:pPr>
              <w:rPr>
                <w:rFonts w:cs="Arial"/>
                <w:sz w:val="20"/>
                <w:szCs w:val="20"/>
              </w:rPr>
            </w:pPr>
            <w:r w:rsidRPr="00072192">
              <w:rPr>
                <w:rFonts w:eastAsiaTheme="minorEastAsia" w:cs="Arial"/>
                <w:sz w:val="20"/>
                <w:szCs w:val="20"/>
              </w:rPr>
              <w:sym w:font="Symbol" w:char="F044"/>
            </w:r>
            <w:r w:rsidRPr="00072192">
              <w:rPr>
                <w:rFonts w:eastAsiaTheme="minorEastAsia" w:cs="Arial"/>
                <w:sz w:val="20"/>
                <w:szCs w:val="20"/>
              </w:rPr>
              <w:t>M = MH − ML (dNm)</w:t>
            </w:r>
          </w:p>
        </w:tc>
        <w:tc>
          <w:tcPr>
            <w:tcW w:w="386" w:type="pct"/>
            <w:gridSpan w:val="2"/>
            <w:vAlign w:val="center"/>
          </w:tcPr>
          <w:p w14:paraId="2B6A47D4" w14:textId="0E68290E" w:rsidR="007537CB" w:rsidRPr="00072192" w:rsidRDefault="007537CB" w:rsidP="002022A6">
            <w:pPr>
              <w:jc w:val="center"/>
              <w:rPr>
                <w:rFonts w:cs="Arial"/>
                <w:sz w:val="20"/>
                <w:szCs w:val="20"/>
              </w:rPr>
            </w:pPr>
            <w:r w:rsidRPr="00072192">
              <w:rPr>
                <w:rFonts w:cs="Arial"/>
                <w:sz w:val="20"/>
                <w:szCs w:val="20"/>
              </w:rPr>
              <w:t>4</w:t>
            </w:r>
            <w:r w:rsidR="00AA7818" w:rsidRPr="00072192">
              <w:rPr>
                <w:rFonts w:cs="Arial"/>
                <w:sz w:val="20"/>
                <w:szCs w:val="20"/>
              </w:rPr>
              <w:t>,</w:t>
            </w:r>
            <w:r w:rsidRPr="00072192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09" w:type="pct"/>
            <w:vAlign w:val="center"/>
          </w:tcPr>
          <w:p w14:paraId="27524764" w14:textId="6FCC15D0" w:rsidR="007537CB" w:rsidRPr="00072192" w:rsidRDefault="007537CB" w:rsidP="002022A6">
            <w:pPr>
              <w:jc w:val="center"/>
              <w:rPr>
                <w:rFonts w:cs="Arial"/>
                <w:sz w:val="20"/>
                <w:szCs w:val="20"/>
              </w:rPr>
            </w:pPr>
            <w:r w:rsidRPr="00072192">
              <w:rPr>
                <w:rFonts w:cs="Arial"/>
                <w:sz w:val="20"/>
                <w:szCs w:val="20"/>
              </w:rPr>
              <w:t>5</w:t>
            </w:r>
            <w:r w:rsidR="00AA7818" w:rsidRPr="00072192">
              <w:rPr>
                <w:rFonts w:cs="Arial"/>
                <w:sz w:val="20"/>
                <w:szCs w:val="20"/>
              </w:rPr>
              <w:t>,</w:t>
            </w:r>
            <w:r w:rsidRPr="00072192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09" w:type="pct"/>
            <w:vAlign w:val="center"/>
          </w:tcPr>
          <w:p w14:paraId="1A8983B9" w14:textId="2594B58B" w:rsidR="007537CB" w:rsidRPr="00072192" w:rsidRDefault="007537CB" w:rsidP="002022A6">
            <w:pPr>
              <w:jc w:val="center"/>
              <w:rPr>
                <w:rFonts w:cs="Arial"/>
                <w:sz w:val="20"/>
                <w:szCs w:val="20"/>
              </w:rPr>
            </w:pPr>
            <w:r w:rsidRPr="00072192">
              <w:rPr>
                <w:rFonts w:cs="Arial"/>
                <w:sz w:val="20"/>
                <w:szCs w:val="20"/>
              </w:rPr>
              <w:t>5</w:t>
            </w:r>
            <w:r w:rsidR="00AA7818" w:rsidRPr="00072192">
              <w:rPr>
                <w:rFonts w:cs="Arial"/>
                <w:sz w:val="20"/>
                <w:szCs w:val="20"/>
              </w:rPr>
              <w:t>,</w:t>
            </w:r>
            <w:r w:rsidRPr="00072192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508" w:type="pct"/>
            <w:gridSpan w:val="2"/>
            <w:vAlign w:val="center"/>
          </w:tcPr>
          <w:p w14:paraId="288F131F" w14:textId="47DE5DD8" w:rsidR="007537CB" w:rsidRPr="00072192" w:rsidRDefault="007537CB" w:rsidP="002022A6">
            <w:pPr>
              <w:jc w:val="center"/>
              <w:rPr>
                <w:rFonts w:cs="Arial"/>
                <w:sz w:val="20"/>
                <w:szCs w:val="20"/>
              </w:rPr>
            </w:pPr>
            <w:r w:rsidRPr="00072192">
              <w:rPr>
                <w:rFonts w:cs="Arial"/>
                <w:sz w:val="20"/>
                <w:szCs w:val="20"/>
              </w:rPr>
              <w:t>4</w:t>
            </w:r>
            <w:r w:rsidR="00AA7818" w:rsidRPr="00072192">
              <w:rPr>
                <w:rFonts w:cs="Arial"/>
                <w:sz w:val="20"/>
                <w:szCs w:val="20"/>
              </w:rPr>
              <w:t>,</w:t>
            </w:r>
            <w:r w:rsidRPr="00072192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509" w:type="pct"/>
            <w:vAlign w:val="center"/>
          </w:tcPr>
          <w:p w14:paraId="13DD479C" w14:textId="2AD6F3BA" w:rsidR="007537CB" w:rsidRPr="00072192" w:rsidRDefault="007537CB" w:rsidP="002022A6">
            <w:pPr>
              <w:jc w:val="center"/>
              <w:rPr>
                <w:rFonts w:cs="Arial"/>
                <w:sz w:val="20"/>
                <w:szCs w:val="20"/>
              </w:rPr>
            </w:pPr>
            <w:r w:rsidRPr="00072192">
              <w:rPr>
                <w:rFonts w:cs="Arial"/>
                <w:sz w:val="20"/>
                <w:szCs w:val="20"/>
              </w:rPr>
              <w:t>4</w:t>
            </w:r>
            <w:r w:rsidR="00AA7818" w:rsidRPr="00072192">
              <w:rPr>
                <w:rFonts w:cs="Arial"/>
                <w:sz w:val="20"/>
                <w:szCs w:val="20"/>
              </w:rPr>
              <w:t>,</w:t>
            </w:r>
            <w:r w:rsidRPr="00072192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509" w:type="pct"/>
            <w:vAlign w:val="center"/>
          </w:tcPr>
          <w:p w14:paraId="2B10D9C1" w14:textId="250833A3" w:rsidR="007537CB" w:rsidRPr="00072192" w:rsidRDefault="007537CB" w:rsidP="002022A6">
            <w:pPr>
              <w:jc w:val="center"/>
              <w:rPr>
                <w:rFonts w:cs="Arial"/>
                <w:sz w:val="20"/>
                <w:szCs w:val="20"/>
              </w:rPr>
            </w:pPr>
            <w:r w:rsidRPr="00072192">
              <w:rPr>
                <w:rFonts w:cs="Arial"/>
                <w:sz w:val="20"/>
                <w:szCs w:val="20"/>
              </w:rPr>
              <w:t>4</w:t>
            </w:r>
            <w:r w:rsidR="00AA7818" w:rsidRPr="00072192">
              <w:rPr>
                <w:rFonts w:cs="Arial"/>
                <w:sz w:val="20"/>
                <w:szCs w:val="20"/>
              </w:rPr>
              <w:t>,</w:t>
            </w:r>
            <w:r w:rsidRPr="00072192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508" w:type="pct"/>
            <w:vAlign w:val="center"/>
          </w:tcPr>
          <w:p w14:paraId="407E8FCA" w14:textId="2D352C87" w:rsidR="007537CB" w:rsidRPr="00072192" w:rsidRDefault="007537CB" w:rsidP="002022A6">
            <w:pPr>
              <w:jc w:val="center"/>
              <w:rPr>
                <w:rFonts w:cs="Arial"/>
                <w:sz w:val="20"/>
                <w:szCs w:val="20"/>
              </w:rPr>
            </w:pPr>
            <w:r w:rsidRPr="00072192">
              <w:rPr>
                <w:rFonts w:cs="Arial"/>
                <w:sz w:val="20"/>
                <w:szCs w:val="20"/>
              </w:rPr>
              <w:t>5</w:t>
            </w:r>
            <w:r w:rsidR="00AA7818" w:rsidRPr="00072192">
              <w:rPr>
                <w:rFonts w:cs="Arial"/>
                <w:sz w:val="20"/>
                <w:szCs w:val="20"/>
              </w:rPr>
              <w:t>,</w:t>
            </w:r>
            <w:r w:rsidRPr="00072192">
              <w:rPr>
                <w:rFonts w:cs="Arial"/>
                <w:sz w:val="20"/>
                <w:szCs w:val="20"/>
              </w:rPr>
              <w:t>0</w:t>
            </w:r>
          </w:p>
        </w:tc>
      </w:tr>
      <w:tr w:rsidR="007537CB" w:rsidRPr="00072192" w14:paraId="364A8058" w14:textId="77777777" w:rsidTr="00DB06CF">
        <w:trPr>
          <w:trHeight w:val="567"/>
          <w:jc w:val="center"/>
        </w:trPr>
        <w:tc>
          <w:tcPr>
            <w:tcW w:w="1562" w:type="pct"/>
            <w:vAlign w:val="center"/>
          </w:tcPr>
          <w:p w14:paraId="22B2B8BF" w14:textId="2CFAF113" w:rsidR="007537CB" w:rsidRPr="00072192" w:rsidRDefault="00AA7818" w:rsidP="002022A6">
            <w:pPr>
              <w:rPr>
                <w:rFonts w:cs="Arial"/>
                <w:sz w:val="20"/>
                <w:szCs w:val="20"/>
              </w:rPr>
            </w:pPr>
            <w:bookmarkStart w:id="5" w:name="_Hlk153151322"/>
            <w:r w:rsidRPr="00072192">
              <w:rPr>
                <w:rFonts w:cs="Arial"/>
                <w:sz w:val="20"/>
                <w:szCs w:val="20"/>
              </w:rPr>
              <w:t>Velocidad de curado</w:t>
            </w:r>
            <w:r w:rsidR="007537CB" w:rsidRPr="00072192">
              <w:rPr>
                <w:rFonts w:cs="Arial"/>
                <w:sz w:val="20"/>
                <w:szCs w:val="20"/>
              </w:rPr>
              <w:t>,</w:t>
            </w:r>
          </w:p>
          <w:p w14:paraId="3D663427" w14:textId="77777777" w:rsidR="007537CB" w:rsidRPr="00072192" w:rsidRDefault="007537CB" w:rsidP="002022A6">
            <w:pPr>
              <w:rPr>
                <w:rFonts w:eastAsia="Calibri" w:cs="Arial"/>
                <w:sz w:val="20"/>
                <w:szCs w:val="20"/>
              </w:rPr>
            </w:pPr>
            <w:r w:rsidRPr="00072192">
              <w:rPr>
                <w:rFonts w:cs="Arial"/>
                <w:sz w:val="20"/>
                <w:szCs w:val="20"/>
              </w:rPr>
              <w:t xml:space="preserve">CRI = </w:t>
            </w:r>
            <w:r w:rsidRPr="00072192">
              <w:rPr>
                <w:rFonts w:eastAsiaTheme="minorEastAsia" w:cs="Arial"/>
                <w:sz w:val="20"/>
                <w:szCs w:val="20"/>
              </w:rPr>
              <w:t xml:space="preserve">100 / </w:t>
            </w:r>
            <m:oMath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(</m:t>
              </m:r>
            </m:oMath>
            <w:r w:rsidRPr="00072192">
              <w:rPr>
                <w:rFonts w:eastAsiaTheme="minorEastAsia" w:cs="Arial"/>
                <w:sz w:val="20"/>
                <w:szCs w:val="20"/>
              </w:rPr>
              <w:t>t90 − ts1</w:t>
            </w:r>
            <m:oMath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)</m:t>
              </m:r>
            </m:oMath>
            <w:r w:rsidRPr="00072192">
              <w:rPr>
                <w:rFonts w:cs="Arial"/>
                <w:sz w:val="20"/>
                <w:szCs w:val="20"/>
              </w:rPr>
              <w:t xml:space="preserve"> (min</w:t>
            </w:r>
            <w:r w:rsidRPr="00072192">
              <w:rPr>
                <w:rFonts w:cs="Arial"/>
                <w:sz w:val="20"/>
                <w:szCs w:val="20"/>
                <w:vertAlign w:val="superscript"/>
              </w:rPr>
              <w:t>−</w:t>
            </w:r>
            <w:r w:rsidRPr="00072192">
              <w:rPr>
                <w:rFonts w:eastAsiaTheme="minorEastAsia" w:cs="Arial"/>
                <w:sz w:val="20"/>
                <w:szCs w:val="20"/>
                <w:vertAlign w:val="superscript"/>
              </w:rPr>
              <w:t>1</w:t>
            </w:r>
            <w:r w:rsidRPr="00072192">
              <w:rPr>
                <w:rFonts w:eastAsiaTheme="minorEastAsia" w:cs="Arial"/>
                <w:sz w:val="20"/>
                <w:szCs w:val="20"/>
              </w:rPr>
              <w:t>)</w:t>
            </w:r>
          </w:p>
        </w:tc>
        <w:tc>
          <w:tcPr>
            <w:tcW w:w="386" w:type="pct"/>
            <w:gridSpan w:val="2"/>
            <w:vAlign w:val="center"/>
          </w:tcPr>
          <w:p w14:paraId="14EBA1EC" w14:textId="0D1CA8A6" w:rsidR="007537CB" w:rsidRPr="00072192" w:rsidRDefault="007537CB" w:rsidP="002022A6">
            <w:pPr>
              <w:jc w:val="center"/>
              <w:rPr>
                <w:rFonts w:cs="Arial"/>
                <w:sz w:val="20"/>
                <w:szCs w:val="20"/>
              </w:rPr>
            </w:pPr>
            <w:r w:rsidRPr="00072192">
              <w:rPr>
                <w:rFonts w:cs="Arial"/>
                <w:sz w:val="20"/>
                <w:szCs w:val="20"/>
              </w:rPr>
              <w:t>14</w:t>
            </w:r>
            <w:r w:rsidR="00AA7818" w:rsidRPr="00072192">
              <w:rPr>
                <w:rFonts w:cs="Arial"/>
                <w:sz w:val="20"/>
                <w:szCs w:val="20"/>
              </w:rPr>
              <w:t>,</w:t>
            </w:r>
            <w:r w:rsidRPr="0007219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509" w:type="pct"/>
            <w:vAlign w:val="center"/>
          </w:tcPr>
          <w:p w14:paraId="2EAFA7D6" w14:textId="584A8C65" w:rsidR="007537CB" w:rsidRPr="00072192" w:rsidRDefault="007537CB" w:rsidP="002022A6">
            <w:pPr>
              <w:jc w:val="center"/>
              <w:rPr>
                <w:rFonts w:cs="Arial"/>
                <w:sz w:val="20"/>
                <w:szCs w:val="20"/>
              </w:rPr>
            </w:pPr>
            <w:r w:rsidRPr="00072192">
              <w:rPr>
                <w:rFonts w:cs="Arial"/>
                <w:sz w:val="20"/>
                <w:szCs w:val="20"/>
              </w:rPr>
              <w:t>12</w:t>
            </w:r>
            <w:r w:rsidR="00AA7818" w:rsidRPr="00072192">
              <w:rPr>
                <w:rFonts w:cs="Arial"/>
                <w:sz w:val="20"/>
                <w:szCs w:val="20"/>
              </w:rPr>
              <w:t>,</w:t>
            </w:r>
            <w:r w:rsidRPr="00072192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09" w:type="pct"/>
            <w:vAlign w:val="center"/>
          </w:tcPr>
          <w:p w14:paraId="23C69310" w14:textId="6D01DAC8" w:rsidR="007537CB" w:rsidRPr="00072192" w:rsidRDefault="007537CB" w:rsidP="002022A6">
            <w:pPr>
              <w:jc w:val="center"/>
              <w:rPr>
                <w:rFonts w:cs="Arial"/>
                <w:sz w:val="20"/>
                <w:szCs w:val="20"/>
              </w:rPr>
            </w:pPr>
            <w:r w:rsidRPr="00072192">
              <w:rPr>
                <w:rFonts w:cs="Arial"/>
                <w:sz w:val="20"/>
                <w:szCs w:val="20"/>
              </w:rPr>
              <w:t>12</w:t>
            </w:r>
            <w:r w:rsidR="00AA7818" w:rsidRPr="00072192">
              <w:rPr>
                <w:rFonts w:cs="Arial"/>
                <w:sz w:val="20"/>
                <w:szCs w:val="20"/>
              </w:rPr>
              <w:t>,</w:t>
            </w:r>
            <w:r w:rsidRPr="00072192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508" w:type="pct"/>
            <w:gridSpan w:val="2"/>
            <w:vAlign w:val="center"/>
          </w:tcPr>
          <w:p w14:paraId="140489E2" w14:textId="71DB2FE1" w:rsidR="007537CB" w:rsidRPr="00072192" w:rsidRDefault="007537CB" w:rsidP="002022A6">
            <w:pPr>
              <w:jc w:val="center"/>
              <w:rPr>
                <w:rFonts w:cs="Arial"/>
                <w:sz w:val="20"/>
                <w:szCs w:val="20"/>
              </w:rPr>
            </w:pPr>
            <w:r w:rsidRPr="00072192">
              <w:rPr>
                <w:rFonts w:cs="Arial"/>
                <w:sz w:val="20"/>
                <w:szCs w:val="20"/>
              </w:rPr>
              <w:t>12</w:t>
            </w:r>
            <w:r w:rsidR="00AA7818" w:rsidRPr="00072192">
              <w:rPr>
                <w:rFonts w:cs="Arial"/>
                <w:sz w:val="20"/>
                <w:szCs w:val="20"/>
              </w:rPr>
              <w:t>,</w:t>
            </w:r>
            <w:r w:rsidRPr="00072192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509" w:type="pct"/>
            <w:vAlign w:val="center"/>
          </w:tcPr>
          <w:p w14:paraId="0D2A5801" w14:textId="2DCE82F6" w:rsidR="007537CB" w:rsidRPr="00072192" w:rsidRDefault="007537CB" w:rsidP="002022A6">
            <w:pPr>
              <w:jc w:val="center"/>
              <w:rPr>
                <w:rFonts w:cs="Arial"/>
                <w:sz w:val="20"/>
                <w:szCs w:val="20"/>
              </w:rPr>
            </w:pPr>
            <w:r w:rsidRPr="00072192">
              <w:rPr>
                <w:rFonts w:cs="Arial"/>
                <w:sz w:val="20"/>
                <w:szCs w:val="20"/>
              </w:rPr>
              <w:t>18</w:t>
            </w:r>
            <w:r w:rsidR="00AA7818" w:rsidRPr="00072192">
              <w:rPr>
                <w:rFonts w:cs="Arial"/>
                <w:sz w:val="20"/>
                <w:szCs w:val="20"/>
              </w:rPr>
              <w:t>,</w:t>
            </w:r>
            <w:r w:rsidRPr="00072192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509" w:type="pct"/>
            <w:vAlign w:val="center"/>
          </w:tcPr>
          <w:p w14:paraId="2C7EDAFB" w14:textId="4516A1D6" w:rsidR="007537CB" w:rsidRPr="00072192" w:rsidRDefault="007537CB" w:rsidP="002022A6">
            <w:pPr>
              <w:jc w:val="center"/>
              <w:rPr>
                <w:rFonts w:cs="Arial"/>
                <w:sz w:val="20"/>
                <w:szCs w:val="20"/>
              </w:rPr>
            </w:pPr>
            <w:r w:rsidRPr="00072192">
              <w:rPr>
                <w:rFonts w:cs="Arial"/>
                <w:sz w:val="20"/>
                <w:szCs w:val="20"/>
              </w:rPr>
              <w:t>58</w:t>
            </w:r>
            <w:r w:rsidR="00AA7818" w:rsidRPr="00072192">
              <w:rPr>
                <w:rFonts w:cs="Arial"/>
                <w:sz w:val="20"/>
                <w:szCs w:val="20"/>
              </w:rPr>
              <w:t>,</w:t>
            </w:r>
            <w:r w:rsidRPr="00072192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508" w:type="pct"/>
            <w:vAlign w:val="center"/>
          </w:tcPr>
          <w:p w14:paraId="19A3A701" w14:textId="398D3B91" w:rsidR="007537CB" w:rsidRPr="00072192" w:rsidRDefault="007537CB" w:rsidP="002022A6">
            <w:pPr>
              <w:jc w:val="center"/>
              <w:rPr>
                <w:rFonts w:cs="Arial"/>
                <w:sz w:val="20"/>
                <w:szCs w:val="20"/>
              </w:rPr>
            </w:pPr>
            <w:r w:rsidRPr="00072192">
              <w:rPr>
                <w:rFonts w:cs="Arial"/>
                <w:sz w:val="20"/>
                <w:szCs w:val="20"/>
              </w:rPr>
              <w:t>35</w:t>
            </w:r>
            <w:r w:rsidR="00AA7818" w:rsidRPr="00072192">
              <w:rPr>
                <w:rFonts w:cs="Arial"/>
                <w:sz w:val="20"/>
                <w:szCs w:val="20"/>
              </w:rPr>
              <w:t>,</w:t>
            </w:r>
            <w:r w:rsidRPr="00072192">
              <w:rPr>
                <w:rFonts w:cs="Arial"/>
                <w:sz w:val="20"/>
                <w:szCs w:val="20"/>
              </w:rPr>
              <w:t>7</w:t>
            </w:r>
          </w:p>
        </w:tc>
      </w:tr>
      <w:tr w:rsidR="007537CB" w:rsidRPr="00072192" w14:paraId="71F91B5D" w14:textId="77777777" w:rsidTr="00DB06CF">
        <w:trPr>
          <w:trHeight w:val="567"/>
          <w:jc w:val="center"/>
        </w:trPr>
        <w:tc>
          <w:tcPr>
            <w:tcW w:w="1562" w:type="pct"/>
            <w:tcBorders>
              <w:bottom w:val="single" w:sz="4" w:space="0" w:color="auto"/>
            </w:tcBorders>
            <w:vAlign w:val="center"/>
          </w:tcPr>
          <w:p w14:paraId="7B643C20" w14:textId="3D80DF33" w:rsidR="007537CB" w:rsidRPr="00072192" w:rsidRDefault="00AA7818" w:rsidP="00072192">
            <w:pPr>
              <w:rPr>
                <w:rFonts w:cs="Arial"/>
                <w:sz w:val="20"/>
                <w:szCs w:val="20"/>
              </w:rPr>
            </w:pPr>
            <w:bookmarkStart w:id="6" w:name="OLE_LINK310"/>
            <w:bookmarkStart w:id="7" w:name="OLE_LINK311"/>
            <w:bookmarkStart w:id="8" w:name="_Hlk153085603"/>
            <w:r w:rsidRPr="00072192">
              <w:rPr>
                <w:rFonts w:cs="Arial"/>
                <w:sz w:val="20"/>
                <w:szCs w:val="20"/>
              </w:rPr>
              <w:t>Densidad de entrecruzamiento</w:t>
            </w:r>
            <w:r w:rsidR="007537CB" w:rsidRPr="00072192">
              <w:rPr>
                <w:rFonts w:cs="Arial"/>
                <w:sz w:val="20"/>
                <w:szCs w:val="20"/>
              </w:rPr>
              <w:t xml:space="preserve">, </w:t>
            </w:r>
            <w:r w:rsidR="007537CB" w:rsidRPr="00072192">
              <w:rPr>
                <w:rFonts w:cs="Arial"/>
                <w:i/>
                <w:iCs/>
                <w:sz w:val="20"/>
                <w:szCs w:val="20"/>
              </w:rPr>
              <w:t>ν</w:t>
            </w:r>
            <w:r w:rsidR="00072192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r w:rsidR="007537CB" w:rsidRPr="00072192">
              <w:rPr>
                <w:rFonts w:cs="Arial"/>
                <w:sz w:val="20"/>
                <w:szCs w:val="20"/>
              </w:rPr>
              <w:t>(×10</w:t>
            </w:r>
            <w:r w:rsidR="007537CB" w:rsidRPr="00072192">
              <w:rPr>
                <w:rFonts w:cs="Arial"/>
                <w:sz w:val="20"/>
                <w:szCs w:val="20"/>
                <w:vertAlign w:val="superscript"/>
              </w:rPr>
              <w:t>−5</w:t>
            </w:r>
            <w:r w:rsidR="007537CB" w:rsidRPr="00072192">
              <w:rPr>
                <w:rFonts w:cs="Arial"/>
                <w:sz w:val="20"/>
                <w:szCs w:val="20"/>
              </w:rPr>
              <w:t xml:space="preserve"> mol cm</w:t>
            </w:r>
            <w:r w:rsidR="007537CB" w:rsidRPr="00072192">
              <w:rPr>
                <w:rFonts w:cs="Arial"/>
                <w:sz w:val="20"/>
                <w:szCs w:val="20"/>
                <w:vertAlign w:val="superscript"/>
              </w:rPr>
              <w:t>−3</w:t>
            </w:r>
            <w:r w:rsidR="007537CB" w:rsidRPr="00072192">
              <w:rPr>
                <w:rFonts w:cs="Arial"/>
                <w:sz w:val="20"/>
                <w:szCs w:val="20"/>
              </w:rPr>
              <w:t>)</w:t>
            </w:r>
            <w:bookmarkEnd w:id="6"/>
            <w:bookmarkEnd w:id="7"/>
          </w:p>
        </w:tc>
        <w:tc>
          <w:tcPr>
            <w:tcW w:w="386" w:type="pct"/>
            <w:gridSpan w:val="2"/>
            <w:tcBorders>
              <w:bottom w:val="single" w:sz="4" w:space="0" w:color="auto"/>
            </w:tcBorders>
            <w:vAlign w:val="center"/>
          </w:tcPr>
          <w:p w14:paraId="4F63A3F7" w14:textId="1E94ECA1" w:rsidR="007537CB" w:rsidRPr="00072192" w:rsidRDefault="007537CB" w:rsidP="002022A6">
            <w:pPr>
              <w:jc w:val="center"/>
              <w:rPr>
                <w:rFonts w:cs="Arial"/>
                <w:sz w:val="20"/>
                <w:szCs w:val="20"/>
              </w:rPr>
            </w:pPr>
            <w:r w:rsidRPr="00072192">
              <w:rPr>
                <w:rFonts w:cs="Arial"/>
                <w:sz w:val="20"/>
                <w:szCs w:val="20"/>
              </w:rPr>
              <w:t>3</w:t>
            </w:r>
            <w:r w:rsidR="00AA7818" w:rsidRPr="00072192">
              <w:rPr>
                <w:rFonts w:cs="Arial"/>
                <w:sz w:val="20"/>
                <w:szCs w:val="20"/>
              </w:rPr>
              <w:t>,</w:t>
            </w:r>
            <w:r w:rsidRPr="00072192">
              <w:rPr>
                <w:rFonts w:cs="Arial"/>
                <w:sz w:val="20"/>
                <w:szCs w:val="20"/>
              </w:rPr>
              <w:t>1 ± 0</w:t>
            </w:r>
            <w:r w:rsidR="00AA7818" w:rsidRPr="00072192">
              <w:rPr>
                <w:rFonts w:cs="Arial"/>
                <w:sz w:val="20"/>
                <w:szCs w:val="20"/>
              </w:rPr>
              <w:t>,</w:t>
            </w:r>
            <w:r w:rsidRPr="00072192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09" w:type="pct"/>
            <w:tcBorders>
              <w:bottom w:val="single" w:sz="4" w:space="0" w:color="auto"/>
            </w:tcBorders>
            <w:vAlign w:val="center"/>
          </w:tcPr>
          <w:p w14:paraId="3C961CD0" w14:textId="77777777" w:rsidR="007537CB" w:rsidRPr="00072192" w:rsidRDefault="007537CB" w:rsidP="002022A6">
            <w:pPr>
              <w:jc w:val="center"/>
              <w:rPr>
                <w:rFonts w:cs="Arial"/>
                <w:sz w:val="20"/>
                <w:szCs w:val="20"/>
              </w:rPr>
            </w:pPr>
            <w:r w:rsidRPr="00072192">
              <w:rPr>
                <w:rFonts w:cs="Arial"/>
                <w:sz w:val="20"/>
                <w:szCs w:val="20"/>
              </w:rPr>
              <w:t>10 ± 1</w:t>
            </w:r>
          </w:p>
        </w:tc>
        <w:tc>
          <w:tcPr>
            <w:tcW w:w="509" w:type="pct"/>
            <w:tcBorders>
              <w:bottom w:val="single" w:sz="4" w:space="0" w:color="auto"/>
            </w:tcBorders>
            <w:vAlign w:val="center"/>
          </w:tcPr>
          <w:p w14:paraId="65DC287C" w14:textId="0CA5BF73" w:rsidR="007537CB" w:rsidRPr="00072192" w:rsidRDefault="007537CB" w:rsidP="002022A6">
            <w:pPr>
              <w:jc w:val="center"/>
              <w:rPr>
                <w:rFonts w:cs="Arial"/>
                <w:sz w:val="20"/>
                <w:szCs w:val="20"/>
              </w:rPr>
            </w:pPr>
            <w:r w:rsidRPr="00072192">
              <w:rPr>
                <w:rFonts w:cs="Arial"/>
                <w:sz w:val="20"/>
                <w:szCs w:val="20"/>
              </w:rPr>
              <w:t>9</w:t>
            </w:r>
            <w:r w:rsidR="00AA7818" w:rsidRPr="00072192">
              <w:rPr>
                <w:rFonts w:cs="Arial"/>
                <w:sz w:val="20"/>
                <w:szCs w:val="20"/>
              </w:rPr>
              <w:t>,</w:t>
            </w:r>
            <w:r w:rsidRPr="00072192">
              <w:rPr>
                <w:rFonts w:cs="Arial"/>
                <w:sz w:val="20"/>
                <w:szCs w:val="20"/>
              </w:rPr>
              <w:t>2 ± 0</w:t>
            </w:r>
            <w:r w:rsidR="00AA7818" w:rsidRPr="00072192">
              <w:rPr>
                <w:rFonts w:cs="Arial"/>
                <w:sz w:val="20"/>
                <w:szCs w:val="20"/>
              </w:rPr>
              <w:t>,</w:t>
            </w:r>
            <w:r w:rsidRPr="00072192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508" w:type="pct"/>
            <w:gridSpan w:val="2"/>
            <w:tcBorders>
              <w:bottom w:val="single" w:sz="4" w:space="0" w:color="auto"/>
            </w:tcBorders>
            <w:vAlign w:val="center"/>
          </w:tcPr>
          <w:p w14:paraId="4A09FD7B" w14:textId="140E8A94" w:rsidR="007537CB" w:rsidRPr="00072192" w:rsidRDefault="007537CB" w:rsidP="002022A6">
            <w:pPr>
              <w:jc w:val="center"/>
              <w:rPr>
                <w:rFonts w:cs="Arial"/>
                <w:sz w:val="20"/>
                <w:szCs w:val="20"/>
              </w:rPr>
            </w:pPr>
            <w:r w:rsidRPr="00072192">
              <w:rPr>
                <w:rFonts w:cs="Arial"/>
                <w:sz w:val="20"/>
                <w:szCs w:val="20"/>
              </w:rPr>
              <w:t>11</w:t>
            </w:r>
            <w:r w:rsidR="00AA7818" w:rsidRPr="00072192">
              <w:rPr>
                <w:rFonts w:cs="Arial"/>
                <w:sz w:val="20"/>
                <w:szCs w:val="20"/>
              </w:rPr>
              <w:t>,</w:t>
            </w:r>
            <w:r w:rsidRPr="00072192">
              <w:rPr>
                <w:rFonts w:cs="Arial"/>
                <w:sz w:val="20"/>
                <w:szCs w:val="20"/>
              </w:rPr>
              <w:t xml:space="preserve">0 </w:t>
            </w:r>
            <w:bookmarkStart w:id="9" w:name="OLE_LINK240"/>
            <w:bookmarkStart w:id="10" w:name="OLE_LINK241"/>
            <w:r w:rsidRPr="00072192">
              <w:rPr>
                <w:rFonts w:cs="Arial"/>
                <w:sz w:val="20"/>
                <w:szCs w:val="20"/>
              </w:rPr>
              <w:t>±</w:t>
            </w:r>
            <w:bookmarkEnd w:id="9"/>
            <w:bookmarkEnd w:id="10"/>
            <w:r w:rsidRPr="00072192">
              <w:rPr>
                <w:rFonts w:cs="Arial"/>
                <w:sz w:val="20"/>
                <w:szCs w:val="20"/>
              </w:rPr>
              <w:t xml:space="preserve"> 0</w:t>
            </w:r>
            <w:r w:rsidR="00AA7818" w:rsidRPr="00072192">
              <w:rPr>
                <w:rFonts w:cs="Arial"/>
                <w:sz w:val="20"/>
                <w:szCs w:val="20"/>
              </w:rPr>
              <w:t>,</w:t>
            </w:r>
            <w:r w:rsidRPr="00072192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09" w:type="pct"/>
            <w:tcBorders>
              <w:bottom w:val="single" w:sz="4" w:space="0" w:color="auto"/>
            </w:tcBorders>
            <w:vAlign w:val="center"/>
          </w:tcPr>
          <w:p w14:paraId="7C4E28C1" w14:textId="12291281" w:rsidR="007537CB" w:rsidRPr="00072192" w:rsidRDefault="007537CB" w:rsidP="002022A6">
            <w:pPr>
              <w:jc w:val="center"/>
              <w:rPr>
                <w:rFonts w:cs="Arial"/>
                <w:sz w:val="20"/>
                <w:szCs w:val="20"/>
              </w:rPr>
            </w:pPr>
            <w:r w:rsidRPr="00072192">
              <w:rPr>
                <w:rFonts w:cs="Arial"/>
                <w:sz w:val="20"/>
                <w:szCs w:val="20"/>
              </w:rPr>
              <w:t>7</w:t>
            </w:r>
            <w:r w:rsidR="00AA7818" w:rsidRPr="00072192">
              <w:rPr>
                <w:rFonts w:cs="Arial"/>
                <w:sz w:val="20"/>
                <w:szCs w:val="20"/>
              </w:rPr>
              <w:t>,</w:t>
            </w:r>
            <w:r w:rsidRPr="00072192">
              <w:rPr>
                <w:rFonts w:cs="Arial"/>
                <w:sz w:val="20"/>
                <w:szCs w:val="20"/>
              </w:rPr>
              <w:t>7 ± 0</w:t>
            </w:r>
            <w:r w:rsidR="00AA7818" w:rsidRPr="00072192">
              <w:rPr>
                <w:rFonts w:cs="Arial"/>
                <w:sz w:val="20"/>
                <w:szCs w:val="20"/>
              </w:rPr>
              <w:t>,</w:t>
            </w:r>
            <w:r w:rsidRPr="00072192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509" w:type="pct"/>
            <w:tcBorders>
              <w:bottom w:val="single" w:sz="4" w:space="0" w:color="auto"/>
            </w:tcBorders>
            <w:vAlign w:val="center"/>
          </w:tcPr>
          <w:p w14:paraId="5D7E627B" w14:textId="6CE8DDF4" w:rsidR="007537CB" w:rsidRPr="00072192" w:rsidRDefault="007537CB" w:rsidP="002022A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72192">
              <w:rPr>
                <w:rFonts w:cs="Arial"/>
                <w:sz w:val="20"/>
                <w:szCs w:val="20"/>
              </w:rPr>
              <w:t>9</w:t>
            </w:r>
            <w:r w:rsidR="00AA7818" w:rsidRPr="00072192">
              <w:rPr>
                <w:rFonts w:cs="Arial"/>
                <w:sz w:val="20"/>
                <w:szCs w:val="20"/>
              </w:rPr>
              <w:t>,</w:t>
            </w:r>
            <w:r w:rsidRPr="00072192">
              <w:rPr>
                <w:rFonts w:cs="Arial"/>
                <w:sz w:val="20"/>
                <w:szCs w:val="20"/>
              </w:rPr>
              <w:t>7 ± 0</w:t>
            </w:r>
            <w:r w:rsidR="00AA7818" w:rsidRPr="00072192">
              <w:rPr>
                <w:rFonts w:cs="Arial"/>
                <w:sz w:val="20"/>
                <w:szCs w:val="20"/>
              </w:rPr>
              <w:t>,</w:t>
            </w:r>
            <w:r w:rsidRPr="00072192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vAlign w:val="center"/>
          </w:tcPr>
          <w:p w14:paraId="5494F7F4" w14:textId="7F93C0C7" w:rsidR="007537CB" w:rsidRPr="00072192" w:rsidRDefault="007537CB" w:rsidP="002022A6">
            <w:pPr>
              <w:jc w:val="center"/>
              <w:rPr>
                <w:rFonts w:cs="Arial"/>
                <w:sz w:val="20"/>
                <w:szCs w:val="20"/>
              </w:rPr>
            </w:pPr>
            <w:r w:rsidRPr="00072192">
              <w:rPr>
                <w:rFonts w:cs="Arial"/>
                <w:sz w:val="20"/>
                <w:szCs w:val="20"/>
              </w:rPr>
              <w:t>11</w:t>
            </w:r>
            <w:r w:rsidR="00AA7818" w:rsidRPr="00072192">
              <w:rPr>
                <w:rFonts w:cs="Arial"/>
                <w:sz w:val="20"/>
                <w:szCs w:val="20"/>
              </w:rPr>
              <w:t>,</w:t>
            </w:r>
            <w:r w:rsidRPr="00072192">
              <w:rPr>
                <w:rFonts w:cs="Arial"/>
                <w:sz w:val="20"/>
                <w:szCs w:val="20"/>
              </w:rPr>
              <w:t>0 ± 0</w:t>
            </w:r>
            <w:r w:rsidR="00AA7818" w:rsidRPr="00072192">
              <w:rPr>
                <w:rFonts w:cs="Arial"/>
                <w:sz w:val="20"/>
                <w:szCs w:val="20"/>
              </w:rPr>
              <w:t>,</w:t>
            </w:r>
            <w:r w:rsidRPr="00072192">
              <w:rPr>
                <w:rFonts w:cs="Arial"/>
                <w:sz w:val="20"/>
                <w:szCs w:val="20"/>
              </w:rPr>
              <w:t>1</w:t>
            </w:r>
          </w:p>
        </w:tc>
      </w:tr>
      <w:bookmarkEnd w:id="2"/>
      <w:bookmarkEnd w:id="3"/>
      <w:bookmarkEnd w:id="4"/>
      <w:bookmarkEnd w:id="5"/>
      <w:bookmarkEnd w:id="8"/>
    </w:tbl>
    <w:p w14:paraId="2DB5AD0F" w14:textId="2DBCEC85" w:rsidR="003561DA" w:rsidRDefault="003561DA" w:rsidP="00543AB3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142" w:hanging="180"/>
        <w:rPr>
          <w:bCs/>
          <w:color w:val="000000"/>
          <w:lang w:val="es-ES"/>
        </w:rPr>
      </w:pPr>
    </w:p>
    <w:p w14:paraId="1742C9F3" w14:textId="57D1F7A7" w:rsidR="00C34323" w:rsidRDefault="00C34323" w:rsidP="00533863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bCs/>
          <w:color w:val="000000"/>
          <w:lang w:val="es-ES"/>
        </w:rPr>
      </w:pPr>
      <w:r>
        <w:rPr>
          <w:bCs/>
          <w:color w:val="000000"/>
          <w:lang w:val="es-ES"/>
        </w:rPr>
        <w:t xml:space="preserve">La </w:t>
      </w:r>
      <w:r w:rsidRPr="00C34323">
        <w:rPr>
          <w:bCs/>
          <w:color w:val="000000"/>
          <w:lang w:val="es-ES"/>
        </w:rPr>
        <w:fldChar w:fldCharType="begin"/>
      </w:r>
      <w:r w:rsidRPr="00C34323">
        <w:rPr>
          <w:bCs/>
          <w:color w:val="000000"/>
          <w:lang w:val="es-ES"/>
        </w:rPr>
        <w:instrText xml:space="preserve"> REF _Ref193128650 \h  \* MERGEFORMAT </w:instrText>
      </w:r>
      <w:r w:rsidRPr="00C34323">
        <w:rPr>
          <w:bCs/>
          <w:color w:val="000000"/>
          <w:lang w:val="es-ES"/>
        </w:rPr>
      </w:r>
      <w:r w:rsidRPr="00C34323">
        <w:rPr>
          <w:bCs/>
          <w:color w:val="000000"/>
          <w:lang w:val="es-ES"/>
        </w:rPr>
        <w:fldChar w:fldCharType="separate"/>
      </w:r>
      <w:r w:rsidR="006E4536" w:rsidRPr="00C34323">
        <w:rPr>
          <w:lang w:val="es-ES"/>
        </w:rPr>
        <w:t xml:space="preserve">Tabla </w:t>
      </w:r>
      <w:r w:rsidR="006E4536" w:rsidRPr="006E4536">
        <w:rPr>
          <w:noProof/>
          <w:lang w:val="es-ES"/>
        </w:rPr>
        <w:t>3</w:t>
      </w:r>
      <w:r w:rsidRPr="00C34323">
        <w:rPr>
          <w:bCs/>
          <w:color w:val="000000"/>
          <w:lang w:val="es-ES"/>
        </w:rPr>
        <w:fldChar w:fldCharType="end"/>
      </w:r>
      <w:r>
        <w:rPr>
          <w:bCs/>
          <w:color w:val="000000"/>
          <w:lang w:val="es-ES"/>
        </w:rPr>
        <w:t xml:space="preserve"> muestra las propiedades térmicas de los compuestos preparados. Se </w:t>
      </w:r>
      <w:r w:rsidR="00361267">
        <w:rPr>
          <w:bCs/>
          <w:color w:val="000000"/>
          <w:lang w:val="es-ES"/>
        </w:rPr>
        <w:t xml:space="preserve">determinó la temperatura de transición vítrea (Tg) por </w:t>
      </w:r>
      <w:r w:rsidR="00FB3CD3">
        <w:rPr>
          <w:bCs/>
          <w:color w:val="000000"/>
          <w:lang w:val="es-ES"/>
        </w:rPr>
        <w:t xml:space="preserve">DSC y por </w:t>
      </w:r>
      <w:r w:rsidR="00361267">
        <w:rPr>
          <w:bCs/>
          <w:color w:val="000000"/>
          <w:lang w:val="es-ES"/>
        </w:rPr>
        <w:t xml:space="preserve">DMA, encontrándose un ligero aumento de la misma en presencia de cargas. Este efecto es más notorio cuando se añade CB (N234 o N330) y WJ-GTR, en concordancia con los valores más elevados de </w:t>
      </w:r>
      <w:r w:rsidR="00361267" w:rsidRPr="00C21FF0">
        <w:rPr>
          <w:bCs/>
          <w:color w:val="000000"/>
          <w:lang w:val="es-ES"/>
        </w:rPr>
        <w:t>ΔM</w:t>
      </w:r>
      <w:r w:rsidR="00361267">
        <w:rPr>
          <w:bCs/>
          <w:color w:val="000000"/>
          <w:lang w:val="es-ES"/>
        </w:rPr>
        <w:t xml:space="preserve">. El mayor carácter reforzante de estas cargas </w:t>
      </w:r>
      <w:r w:rsidR="000902AE">
        <w:rPr>
          <w:bCs/>
          <w:color w:val="000000"/>
          <w:lang w:val="es-ES"/>
        </w:rPr>
        <w:t>restringe la movilidad de las</w:t>
      </w:r>
      <w:r w:rsidR="00361267">
        <w:rPr>
          <w:bCs/>
          <w:color w:val="000000"/>
          <w:lang w:val="es-ES"/>
        </w:rPr>
        <w:t xml:space="preserve"> cadenas elastoméricas</w:t>
      </w:r>
      <w:r w:rsidR="001E633E">
        <w:rPr>
          <w:bCs/>
          <w:color w:val="000000"/>
          <w:lang w:val="es-ES"/>
        </w:rPr>
        <w:t>, necesitando mayor energía para alcanzar la transición vítrea</w:t>
      </w:r>
      <w:r w:rsidR="000902AE">
        <w:rPr>
          <w:bCs/>
          <w:color w:val="000000"/>
          <w:lang w:val="es-ES"/>
        </w:rPr>
        <w:t xml:space="preserve">. </w:t>
      </w:r>
      <w:r w:rsidR="002B3E1D">
        <w:rPr>
          <w:bCs/>
          <w:color w:val="000000"/>
          <w:lang w:val="es-ES"/>
        </w:rPr>
        <w:t xml:space="preserve">Adicionalmente, </w:t>
      </w:r>
      <w:r w:rsidR="000902AE" w:rsidRPr="000902AE">
        <w:rPr>
          <w:bCs/>
          <w:color w:val="000000"/>
          <w:lang w:val="es-ES"/>
        </w:rPr>
        <w:t>casi tod</w:t>
      </w:r>
      <w:r w:rsidR="000902AE">
        <w:rPr>
          <w:bCs/>
          <w:color w:val="000000"/>
          <w:lang w:val="es-ES"/>
        </w:rPr>
        <w:t>a</w:t>
      </w:r>
      <w:r w:rsidR="000902AE" w:rsidRPr="000902AE">
        <w:rPr>
          <w:bCs/>
          <w:color w:val="000000"/>
          <w:lang w:val="es-ES"/>
        </w:rPr>
        <w:t>s l</w:t>
      </w:r>
      <w:r w:rsidR="000902AE">
        <w:rPr>
          <w:bCs/>
          <w:color w:val="000000"/>
          <w:lang w:val="es-ES"/>
        </w:rPr>
        <w:t>a</w:t>
      </w:r>
      <w:r w:rsidR="000902AE" w:rsidRPr="000902AE">
        <w:rPr>
          <w:bCs/>
          <w:color w:val="000000"/>
          <w:lang w:val="es-ES"/>
        </w:rPr>
        <w:t xml:space="preserve">s </w:t>
      </w:r>
      <w:r w:rsidR="000902AE">
        <w:rPr>
          <w:bCs/>
          <w:color w:val="000000"/>
          <w:lang w:val="es-ES"/>
        </w:rPr>
        <w:t>cargas</w:t>
      </w:r>
      <w:r w:rsidR="000902AE" w:rsidRPr="000902AE">
        <w:rPr>
          <w:bCs/>
          <w:color w:val="000000"/>
          <w:lang w:val="es-ES"/>
        </w:rPr>
        <w:t xml:space="preserve"> aumentaron la temperatura de degradación </w:t>
      </w:r>
      <w:r w:rsidR="000902AE">
        <w:rPr>
          <w:bCs/>
          <w:color w:val="000000"/>
          <w:lang w:val="es-ES"/>
        </w:rPr>
        <w:t xml:space="preserve">(Tid) </w:t>
      </w:r>
      <w:r w:rsidR="000902AE" w:rsidRPr="000902AE">
        <w:rPr>
          <w:bCs/>
          <w:color w:val="000000"/>
          <w:lang w:val="es-ES"/>
        </w:rPr>
        <w:t xml:space="preserve">del 5ZnO </w:t>
      </w:r>
      <w:r w:rsidR="001E633E">
        <w:rPr>
          <w:bCs/>
          <w:color w:val="000000"/>
          <w:lang w:val="es-ES"/>
        </w:rPr>
        <w:t xml:space="preserve">en </w:t>
      </w:r>
      <w:r w:rsidR="000902AE" w:rsidRPr="000902AE">
        <w:rPr>
          <w:bCs/>
          <w:color w:val="000000"/>
          <w:lang w:val="es-ES"/>
        </w:rPr>
        <w:t>hasta 15 °C o más</w:t>
      </w:r>
      <w:r w:rsidR="002B3E1D">
        <w:rPr>
          <w:bCs/>
          <w:color w:val="000000"/>
          <w:lang w:val="es-ES"/>
        </w:rPr>
        <w:t xml:space="preserve">, mejorando </w:t>
      </w:r>
      <w:r w:rsidR="002B3E1D" w:rsidRPr="000902AE">
        <w:rPr>
          <w:bCs/>
          <w:color w:val="000000"/>
          <w:lang w:val="es-ES"/>
        </w:rPr>
        <w:t>la estabilidad térmica de</w:t>
      </w:r>
      <w:r w:rsidR="002B3E1D">
        <w:rPr>
          <w:bCs/>
          <w:color w:val="000000"/>
          <w:lang w:val="es-ES"/>
        </w:rPr>
        <w:t xml:space="preserve"> la matriz elastomérica</w:t>
      </w:r>
      <w:r w:rsidR="000902AE" w:rsidRPr="000902AE">
        <w:rPr>
          <w:bCs/>
          <w:color w:val="000000"/>
          <w:lang w:val="es-ES"/>
        </w:rPr>
        <w:t>.</w:t>
      </w:r>
    </w:p>
    <w:p w14:paraId="539607C3" w14:textId="5D24F39C" w:rsidR="00C34323" w:rsidRPr="00C34323" w:rsidRDefault="00C34323" w:rsidP="00072192">
      <w:pPr>
        <w:jc w:val="center"/>
        <w:rPr>
          <w:i/>
          <w:lang w:val="es-ES"/>
        </w:rPr>
      </w:pPr>
      <w:bookmarkStart w:id="11" w:name="_Ref193128650"/>
      <w:bookmarkStart w:id="12" w:name="_Toc153708919"/>
      <w:r w:rsidRPr="00C34323">
        <w:rPr>
          <w:lang w:val="es-ES"/>
        </w:rPr>
        <w:t xml:space="preserve">Tabla </w:t>
      </w:r>
      <w:r w:rsidRPr="00C34323">
        <w:rPr>
          <w:i/>
        </w:rPr>
        <w:fldChar w:fldCharType="begin"/>
      </w:r>
      <w:r w:rsidRPr="00C34323">
        <w:rPr>
          <w:lang w:val="es-ES"/>
        </w:rPr>
        <w:instrText xml:space="preserve"> SEQ Tabla \* ARABIC </w:instrText>
      </w:r>
      <w:r w:rsidRPr="00C34323">
        <w:rPr>
          <w:i/>
        </w:rPr>
        <w:fldChar w:fldCharType="separate"/>
      </w:r>
      <w:r w:rsidR="006E4536">
        <w:rPr>
          <w:noProof/>
          <w:lang w:val="es-ES"/>
        </w:rPr>
        <w:t>3</w:t>
      </w:r>
      <w:r w:rsidRPr="00C34323">
        <w:rPr>
          <w:i/>
        </w:rPr>
        <w:fldChar w:fldCharType="end"/>
      </w:r>
      <w:bookmarkEnd w:id="11"/>
      <w:r w:rsidRPr="00C34323">
        <w:rPr>
          <w:lang w:val="es-ES"/>
        </w:rPr>
        <w:t xml:space="preserve">. </w:t>
      </w:r>
      <w:bookmarkEnd w:id="12"/>
      <w:r w:rsidRPr="00072192">
        <w:rPr>
          <w:lang w:val="es-ES"/>
        </w:rPr>
        <w:t>Propiedades térmicas</w:t>
      </w:r>
      <w:r w:rsidR="00072192" w:rsidRPr="00072192">
        <w:rPr>
          <w:lang w:val="es-ES"/>
        </w:rPr>
        <w:t xml:space="preserve"> (</w:t>
      </w:r>
      <w:proofErr w:type="spellStart"/>
      <w:r w:rsidR="00072192" w:rsidRPr="00072192">
        <w:rPr>
          <w:lang w:val="es-ES"/>
        </w:rPr>
        <w:t>Tg</w:t>
      </w:r>
      <w:proofErr w:type="spellEnd"/>
      <w:r w:rsidR="00072192" w:rsidRPr="00072192">
        <w:rPr>
          <w:lang w:val="es-ES"/>
        </w:rPr>
        <w:t xml:space="preserve"> y </w:t>
      </w:r>
      <w:proofErr w:type="spellStart"/>
      <w:r w:rsidR="00072192" w:rsidRPr="00072192">
        <w:rPr>
          <w:lang w:val="es-ES"/>
        </w:rPr>
        <w:t>Tid</w:t>
      </w:r>
      <w:proofErr w:type="spellEnd"/>
      <w:r w:rsidR="00072192" w:rsidRPr="00072192">
        <w:rPr>
          <w:lang w:val="es-ES"/>
        </w:rPr>
        <w:t>)</w:t>
      </w:r>
      <w:r w:rsidRPr="00072192">
        <w:rPr>
          <w:lang w:val="es-ES"/>
        </w:rPr>
        <w:t xml:space="preserve"> </w:t>
      </w:r>
      <w:r w:rsidR="00072192" w:rsidRPr="00072192">
        <w:rPr>
          <w:lang w:val="es-ES"/>
        </w:rPr>
        <w:t>y eficiencia de reparación</w:t>
      </w:r>
      <w:r w:rsidR="00072192">
        <w:rPr>
          <w:i/>
          <w:lang w:val="es-ES"/>
        </w:rPr>
        <w:t xml:space="preserve"> </w:t>
      </w:r>
      <w:r w:rsidR="00072192" w:rsidRPr="00072192">
        <w:rPr>
          <w:i/>
          <w:lang w:val="es-ES"/>
        </w:rPr>
        <w:t>(</w:t>
      </w:r>
      <w:r w:rsidR="00072192" w:rsidRPr="00072192">
        <w:rPr>
          <w:rFonts w:ascii="Symbol" w:hAnsi="Symbol" w:cs="Arial"/>
          <w:bCs/>
        </w:rPr>
        <w:t></w:t>
      </w:r>
      <w:r w:rsidR="00072192" w:rsidRPr="00072192">
        <w:rPr>
          <w:lang w:val="es-ES"/>
        </w:rPr>
        <w:t xml:space="preserve">) </w:t>
      </w:r>
      <w:r w:rsidRPr="00C34323">
        <w:rPr>
          <w:lang w:val="es-ES"/>
        </w:rPr>
        <w:t>de los compuestos de XNBR.</w:t>
      </w: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072192" w:rsidRPr="00D831E7" w14:paraId="1DF31304" w14:textId="55277A8B" w:rsidTr="00072192">
        <w:trPr>
          <w:trHeight w:val="20"/>
          <w:jc w:val="center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DB4A732" w14:textId="7F46688A" w:rsidR="00072192" w:rsidRPr="00D831E7" w:rsidRDefault="00072192" w:rsidP="002022A6">
            <w:pPr>
              <w:jc w:val="center"/>
              <w:rPr>
                <w:rFonts w:cs="Arial"/>
                <w:b/>
                <w:bCs/>
              </w:rPr>
            </w:pPr>
            <w:bookmarkStart w:id="13" w:name="_Hlk153180398"/>
            <w:r w:rsidRPr="00D831E7">
              <w:rPr>
                <w:rFonts w:cs="Arial"/>
                <w:b/>
                <w:bCs/>
              </w:rPr>
              <w:t>Comp</w:t>
            </w:r>
            <w:r>
              <w:rPr>
                <w:rFonts w:cs="Arial"/>
                <w:b/>
                <w:bCs/>
              </w:rPr>
              <w:t>uesto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67EFD75" w14:textId="77777777" w:rsidR="00072192" w:rsidRPr="00D831E7" w:rsidRDefault="00072192" w:rsidP="002022A6">
            <w:pPr>
              <w:jc w:val="center"/>
              <w:rPr>
                <w:rFonts w:cs="Arial"/>
                <w:b/>
                <w:bCs/>
                <w:vertAlign w:val="subscript"/>
              </w:rPr>
            </w:pPr>
            <w:r w:rsidRPr="00D831E7">
              <w:rPr>
                <w:rFonts w:cs="Arial"/>
                <w:b/>
                <w:bCs/>
              </w:rPr>
              <w:t xml:space="preserve">Tg </w:t>
            </w:r>
            <w:r w:rsidRPr="00D831E7">
              <w:rPr>
                <w:rFonts w:cs="Arial"/>
                <w:b/>
                <w:bCs/>
                <w:vertAlign w:val="subscript"/>
              </w:rPr>
              <w:t>DMA</w:t>
            </w:r>
          </w:p>
          <w:p w14:paraId="60CE589B" w14:textId="075BA545" w:rsidR="00072192" w:rsidRPr="00D831E7" w:rsidRDefault="00072192" w:rsidP="002022A6">
            <w:pPr>
              <w:jc w:val="center"/>
              <w:rPr>
                <w:rFonts w:cs="Arial"/>
                <w:b/>
                <w:bCs/>
              </w:rPr>
            </w:pPr>
            <w:r w:rsidRPr="00D831E7">
              <w:rPr>
                <w:rFonts w:cs="Arial"/>
                <w:b/>
                <w:bCs/>
              </w:rPr>
              <w:t>(°C)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65CE835" w14:textId="77777777" w:rsidR="00072192" w:rsidRPr="00D831E7" w:rsidRDefault="00072192" w:rsidP="002022A6">
            <w:pPr>
              <w:jc w:val="center"/>
              <w:rPr>
                <w:rFonts w:cs="Arial"/>
                <w:b/>
                <w:bCs/>
                <w:vertAlign w:val="subscript"/>
              </w:rPr>
            </w:pPr>
            <w:r w:rsidRPr="00D831E7">
              <w:rPr>
                <w:rFonts w:cs="Arial"/>
                <w:b/>
                <w:bCs/>
              </w:rPr>
              <w:t xml:space="preserve">Tg </w:t>
            </w:r>
            <w:r w:rsidRPr="00D831E7">
              <w:rPr>
                <w:rFonts w:cs="Arial"/>
                <w:b/>
                <w:bCs/>
                <w:vertAlign w:val="subscript"/>
              </w:rPr>
              <w:t>DSC</w:t>
            </w:r>
          </w:p>
          <w:p w14:paraId="154521DB" w14:textId="18C6FD54" w:rsidR="00072192" w:rsidRPr="00D831E7" w:rsidRDefault="00072192" w:rsidP="002022A6">
            <w:pPr>
              <w:jc w:val="center"/>
              <w:rPr>
                <w:rFonts w:cs="Arial"/>
                <w:b/>
                <w:bCs/>
              </w:rPr>
            </w:pPr>
            <w:r w:rsidRPr="00D831E7">
              <w:rPr>
                <w:rFonts w:cs="Arial"/>
                <w:b/>
                <w:bCs/>
              </w:rPr>
              <w:t>(°C)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83097EB" w14:textId="4A564C69" w:rsidR="00072192" w:rsidRPr="00D831E7" w:rsidRDefault="00072192" w:rsidP="002022A6">
            <w:pPr>
              <w:jc w:val="center"/>
              <w:rPr>
                <w:rFonts w:cs="Arial"/>
                <w:b/>
                <w:bCs/>
              </w:rPr>
            </w:pPr>
            <w:r w:rsidRPr="00D831E7">
              <w:rPr>
                <w:rFonts w:cs="Arial"/>
                <w:b/>
                <w:bCs/>
              </w:rPr>
              <w:t>T</w:t>
            </w:r>
            <w:r>
              <w:rPr>
                <w:rFonts w:cs="Arial"/>
                <w:b/>
                <w:bCs/>
              </w:rPr>
              <w:t>i</w:t>
            </w:r>
            <w:r w:rsidRPr="00D831E7">
              <w:rPr>
                <w:rFonts w:cs="Arial"/>
                <w:b/>
                <w:bCs/>
              </w:rPr>
              <w:t>d</w:t>
            </w:r>
          </w:p>
          <w:p w14:paraId="1B40BF2E" w14:textId="7317C9AA" w:rsidR="00072192" w:rsidRPr="00D831E7" w:rsidRDefault="00072192" w:rsidP="002022A6">
            <w:pPr>
              <w:jc w:val="center"/>
              <w:rPr>
                <w:rFonts w:cs="Arial"/>
                <w:b/>
                <w:bCs/>
              </w:rPr>
            </w:pPr>
            <w:r w:rsidRPr="00D831E7">
              <w:rPr>
                <w:rFonts w:cs="Arial"/>
                <w:b/>
                <w:bCs/>
              </w:rPr>
              <w:t>(°C)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4B94352F" w14:textId="1339A862" w:rsidR="00072192" w:rsidRPr="00072192" w:rsidRDefault="00072192" w:rsidP="002022A6">
            <w:pPr>
              <w:jc w:val="center"/>
              <w:rPr>
                <w:rFonts w:ascii="Symbol" w:hAnsi="Symbol" w:cs="Arial"/>
                <w:b/>
                <w:bCs/>
              </w:rPr>
            </w:pPr>
            <w:r>
              <w:rPr>
                <w:rFonts w:ascii="Symbol" w:hAnsi="Symbol" w:cs="Arial"/>
                <w:b/>
                <w:bCs/>
              </w:rPr>
              <w:t></w:t>
            </w:r>
            <w:r w:rsidRPr="00072192">
              <w:rPr>
                <w:rFonts w:ascii="Symbol" w:hAnsi="Symbol" w:cs="Arial"/>
                <w:b/>
                <w:bCs/>
              </w:rPr>
              <w:t></w:t>
            </w:r>
          </w:p>
          <w:p w14:paraId="66950F65" w14:textId="550C1526" w:rsidR="00072192" w:rsidRPr="00D831E7" w:rsidRDefault="00072192" w:rsidP="002022A6">
            <w:pPr>
              <w:jc w:val="center"/>
              <w:rPr>
                <w:rFonts w:cs="Arial"/>
                <w:b/>
                <w:bCs/>
              </w:rPr>
            </w:pPr>
            <w:r w:rsidRPr="00D831E7">
              <w:rPr>
                <w:rFonts w:cs="Arial"/>
                <w:b/>
                <w:bCs/>
              </w:rPr>
              <w:t>(</w:t>
            </w:r>
            <w:r>
              <w:rPr>
                <w:rFonts w:cs="Arial"/>
                <w:b/>
                <w:bCs/>
              </w:rPr>
              <w:t>%</w:t>
            </w:r>
            <w:r w:rsidRPr="00D831E7">
              <w:rPr>
                <w:rFonts w:cs="Arial"/>
                <w:b/>
                <w:bCs/>
              </w:rPr>
              <w:t>)</w:t>
            </w:r>
          </w:p>
        </w:tc>
      </w:tr>
      <w:tr w:rsidR="00072192" w:rsidRPr="00D831E7" w14:paraId="285B410D" w14:textId="25266630" w:rsidTr="00072192">
        <w:trPr>
          <w:trHeight w:val="20"/>
          <w:jc w:val="center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112D48FD" w14:textId="77777777" w:rsidR="00072192" w:rsidRPr="00D831E7" w:rsidRDefault="00072192" w:rsidP="002022A6">
            <w:pPr>
              <w:jc w:val="center"/>
              <w:rPr>
                <w:rFonts w:cs="Arial"/>
              </w:rPr>
            </w:pPr>
            <w:r w:rsidRPr="00D831E7">
              <w:rPr>
                <w:rFonts w:cs="Arial"/>
              </w:rPr>
              <w:t>5ZnO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5BECC" w14:textId="77777777" w:rsidR="00072192" w:rsidRPr="00D831E7" w:rsidRDefault="00072192" w:rsidP="002022A6">
            <w:pPr>
              <w:jc w:val="center"/>
              <w:rPr>
                <w:rFonts w:cs="Arial"/>
              </w:rPr>
            </w:pPr>
            <w:r w:rsidRPr="00D831E7">
              <w:rPr>
                <w:rFonts w:cs="Arial"/>
              </w:rPr>
              <w:t>−1.3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108F383B" w14:textId="77777777" w:rsidR="00072192" w:rsidRPr="00D831E7" w:rsidRDefault="00072192" w:rsidP="002022A6">
            <w:pPr>
              <w:jc w:val="center"/>
              <w:rPr>
                <w:rFonts w:cs="Arial"/>
              </w:rPr>
            </w:pPr>
            <w:r w:rsidRPr="00D831E7">
              <w:rPr>
                <w:rFonts w:cs="Arial"/>
              </w:rPr>
              <w:t>−21.5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CDCB0" w14:textId="77777777" w:rsidR="00072192" w:rsidRPr="00D831E7" w:rsidRDefault="00072192" w:rsidP="002022A6">
            <w:pPr>
              <w:jc w:val="center"/>
              <w:rPr>
                <w:rFonts w:cs="Arial"/>
              </w:rPr>
            </w:pPr>
            <w:r w:rsidRPr="00D831E7">
              <w:rPr>
                <w:rFonts w:cs="Arial"/>
              </w:rPr>
              <w:t>402.9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14:paraId="4D2B07D1" w14:textId="07EA89A5" w:rsidR="00072192" w:rsidRPr="00072192" w:rsidRDefault="00072192" w:rsidP="002022A6">
            <w:pPr>
              <w:jc w:val="center"/>
              <w:rPr>
                <w:rFonts w:cs="Arial"/>
              </w:rPr>
            </w:pPr>
            <w:r w:rsidRPr="00072192">
              <w:rPr>
                <w:rFonts w:cs="Arial"/>
              </w:rPr>
              <w:t>138 ± 11</w:t>
            </w:r>
          </w:p>
        </w:tc>
      </w:tr>
      <w:tr w:rsidR="0068123E" w:rsidRPr="00D831E7" w14:paraId="688D2947" w14:textId="2CD432BE" w:rsidTr="0068123E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3AB7DAF" w14:textId="17EB2DDC" w:rsidR="0068123E" w:rsidRPr="00072192" w:rsidRDefault="0068123E" w:rsidP="002022A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Cargas convencionales</w:t>
            </w:r>
          </w:p>
        </w:tc>
      </w:tr>
      <w:tr w:rsidR="00072192" w:rsidRPr="00D831E7" w14:paraId="0815E715" w14:textId="2C81C626" w:rsidTr="005B3A16">
        <w:trPr>
          <w:trHeight w:val="20"/>
          <w:jc w:val="center"/>
        </w:trPr>
        <w:tc>
          <w:tcPr>
            <w:tcW w:w="1000" w:type="pct"/>
            <w:tcBorders>
              <w:top w:val="single" w:sz="4" w:space="0" w:color="auto"/>
            </w:tcBorders>
          </w:tcPr>
          <w:p w14:paraId="7CFF7A4A" w14:textId="77777777" w:rsidR="00072192" w:rsidRPr="00D831E7" w:rsidRDefault="00072192" w:rsidP="00072192">
            <w:pPr>
              <w:jc w:val="center"/>
              <w:rPr>
                <w:rFonts w:cs="Arial"/>
              </w:rPr>
            </w:pPr>
            <w:r w:rsidRPr="00D831E7">
              <w:rPr>
                <w:rFonts w:cs="Arial"/>
              </w:rPr>
              <w:t>10N234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vAlign w:val="center"/>
          </w:tcPr>
          <w:p w14:paraId="70037179" w14:textId="77777777" w:rsidR="00072192" w:rsidRPr="00D831E7" w:rsidRDefault="00072192" w:rsidP="00072192">
            <w:pPr>
              <w:jc w:val="center"/>
              <w:rPr>
                <w:rFonts w:cs="Arial"/>
              </w:rPr>
            </w:pPr>
            <w:r w:rsidRPr="00D831E7">
              <w:rPr>
                <w:rFonts w:cs="Arial"/>
              </w:rPr>
              <w:t>−0.2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14:paraId="615280D8" w14:textId="77777777" w:rsidR="00072192" w:rsidRPr="00D831E7" w:rsidRDefault="00072192" w:rsidP="00072192">
            <w:pPr>
              <w:jc w:val="center"/>
              <w:rPr>
                <w:rFonts w:cs="Arial"/>
              </w:rPr>
            </w:pPr>
            <w:r w:rsidRPr="00D831E7">
              <w:rPr>
                <w:rFonts w:cs="Arial"/>
              </w:rPr>
              <w:t>−17.9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vAlign w:val="center"/>
          </w:tcPr>
          <w:p w14:paraId="3525D981" w14:textId="77777777" w:rsidR="00072192" w:rsidRPr="00D831E7" w:rsidRDefault="00072192" w:rsidP="00072192">
            <w:pPr>
              <w:jc w:val="center"/>
              <w:rPr>
                <w:rFonts w:cs="Arial"/>
              </w:rPr>
            </w:pPr>
            <w:r w:rsidRPr="00D831E7">
              <w:rPr>
                <w:rFonts w:cs="Arial"/>
              </w:rPr>
              <w:t>423.3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vAlign w:val="center"/>
          </w:tcPr>
          <w:p w14:paraId="099B6B30" w14:textId="0C46062A" w:rsidR="00072192" w:rsidRPr="00072192" w:rsidRDefault="00072192" w:rsidP="00072192">
            <w:pPr>
              <w:jc w:val="center"/>
              <w:rPr>
                <w:rFonts w:cs="Arial"/>
              </w:rPr>
            </w:pPr>
            <w:r w:rsidRPr="00072192">
              <w:rPr>
                <w:rFonts w:cs="Arial"/>
              </w:rPr>
              <w:t>76 ± 29</w:t>
            </w:r>
          </w:p>
        </w:tc>
      </w:tr>
      <w:tr w:rsidR="00072192" w:rsidRPr="00D831E7" w14:paraId="0C88E9D3" w14:textId="7FB60CAF" w:rsidTr="005B3A16">
        <w:trPr>
          <w:trHeight w:val="20"/>
          <w:jc w:val="center"/>
        </w:trPr>
        <w:tc>
          <w:tcPr>
            <w:tcW w:w="1000" w:type="pct"/>
          </w:tcPr>
          <w:p w14:paraId="4B4ED377" w14:textId="77777777" w:rsidR="00072192" w:rsidRPr="00D831E7" w:rsidRDefault="00072192" w:rsidP="00072192">
            <w:pPr>
              <w:jc w:val="center"/>
              <w:rPr>
                <w:rFonts w:cs="Arial"/>
              </w:rPr>
            </w:pPr>
            <w:r w:rsidRPr="00D831E7">
              <w:rPr>
                <w:rFonts w:cs="Arial"/>
              </w:rPr>
              <w:t>10N330</w:t>
            </w:r>
          </w:p>
        </w:tc>
        <w:tc>
          <w:tcPr>
            <w:tcW w:w="1000" w:type="pct"/>
            <w:vAlign w:val="center"/>
          </w:tcPr>
          <w:p w14:paraId="2A1356F8" w14:textId="77777777" w:rsidR="00072192" w:rsidRPr="00D831E7" w:rsidRDefault="00072192" w:rsidP="00072192">
            <w:pPr>
              <w:jc w:val="center"/>
              <w:rPr>
                <w:rFonts w:cs="Arial"/>
              </w:rPr>
            </w:pPr>
            <w:r w:rsidRPr="00D831E7">
              <w:rPr>
                <w:rFonts w:cs="Arial"/>
              </w:rPr>
              <w:t>−0.2</w:t>
            </w:r>
          </w:p>
        </w:tc>
        <w:tc>
          <w:tcPr>
            <w:tcW w:w="1000" w:type="pct"/>
          </w:tcPr>
          <w:p w14:paraId="624961B1" w14:textId="77777777" w:rsidR="00072192" w:rsidRPr="00D831E7" w:rsidRDefault="00072192" w:rsidP="00072192">
            <w:pPr>
              <w:jc w:val="center"/>
              <w:rPr>
                <w:rFonts w:cs="Arial"/>
              </w:rPr>
            </w:pPr>
            <w:r w:rsidRPr="00D831E7">
              <w:rPr>
                <w:rFonts w:cs="Arial"/>
              </w:rPr>
              <w:t>−18.6</w:t>
            </w:r>
          </w:p>
        </w:tc>
        <w:tc>
          <w:tcPr>
            <w:tcW w:w="1000" w:type="pct"/>
            <w:vAlign w:val="center"/>
          </w:tcPr>
          <w:p w14:paraId="3435BC63" w14:textId="77777777" w:rsidR="00072192" w:rsidRPr="00D831E7" w:rsidRDefault="00072192" w:rsidP="00072192">
            <w:pPr>
              <w:jc w:val="center"/>
              <w:rPr>
                <w:rFonts w:cs="Arial"/>
              </w:rPr>
            </w:pPr>
            <w:r w:rsidRPr="00D831E7">
              <w:rPr>
                <w:rFonts w:cs="Arial"/>
              </w:rPr>
              <w:t>423.5</w:t>
            </w:r>
          </w:p>
        </w:tc>
        <w:tc>
          <w:tcPr>
            <w:tcW w:w="1000" w:type="pct"/>
            <w:vAlign w:val="center"/>
          </w:tcPr>
          <w:p w14:paraId="0611A332" w14:textId="75671F18" w:rsidR="00072192" w:rsidRPr="00072192" w:rsidRDefault="00072192" w:rsidP="00072192">
            <w:pPr>
              <w:jc w:val="center"/>
              <w:rPr>
                <w:rFonts w:cs="Arial"/>
              </w:rPr>
            </w:pPr>
            <w:r w:rsidRPr="00072192">
              <w:rPr>
                <w:rFonts w:cs="Arial"/>
              </w:rPr>
              <w:t>61 ± 2</w:t>
            </w:r>
          </w:p>
        </w:tc>
      </w:tr>
      <w:tr w:rsidR="00072192" w:rsidRPr="00D831E7" w14:paraId="4BA92A92" w14:textId="73A11B1A" w:rsidTr="005B3A16">
        <w:trPr>
          <w:trHeight w:val="20"/>
          <w:jc w:val="center"/>
        </w:trPr>
        <w:tc>
          <w:tcPr>
            <w:tcW w:w="1000" w:type="pct"/>
            <w:tcBorders>
              <w:bottom w:val="single" w:sz="4" w:space="0" w:color="auto"/>
            </w:tcBorders>
          </w:tcPr>
          <w:p w14:paraId="7B7EFE8B" w14:textId="77777777" w:rsidR="00072192" w:rsidRPr="00D831E7" w:rsidRDefault="00072192" w:rsidP="00072192">
            <w:pPr>
              <w:jc w:val="center"/>
              <w:rPr>
                <w:rFonts w:cs="Arial"/>
              </w:rPr>
            </w:pPr>
            <w:r w:rsidRPr="00D831E7">
              <w:rPr>
                <w:rFonts w:cs="Arial"/>
              </w:rPr>
              <w:t>10Sil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51F811DB" w14:textId="77777777" w:rsidR="00072192" w:rsidRPr="00D831E7" w:rsidRDefault="00072192" w:rsidP="00072192">
            <w:pPr>
              <w:jc w:val="center"/>
              <w:rPr>
                <w:rFonts w:cs="Arial"/>
              </w:rPr>
            </w:pPr>
            <w:r w:rsidRPr="00D831E7">
              <w:rPr>
                <w:rFonts w:cs="Arial"/>
              </w:rPr>
              <w:t>−1.0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7372BB30" w14:textId="77777777" w:rsidR="00072192" w:rsidRPr="00D831E7" w:rsidRDefault="00072192" w:rsidP="00072192">
            <w:pPr>
              <w:jc w:val="center"/>
              <w:rPr>
                <w:rFonts w:cs="Arial"/>
              </w:rPr>
            </w:pPr>
            <w:r w:rsidRPr="00D831E7">
              <w:rPr>
                <w:rFonts w:cs="Arial"/>
              </w:rPr>
              <w:t>−18.8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13840B10" w14:textId="77777777" w:rsidR="00072192" w:rsidRPr="00D831E7" w:rsidRDefault="00072192" w:rsidP="00072192">
            <w:pPr>
              <w:jc w:val="center"/>
              <w:rPr>
                <w:rFonts w:cs="Arial"/>
              </w:rPr>
            </w:pPr>
            <w:r w:rsidRPr="00D831E7">
              <w:rPr>
                <w:rFonts w:cs="Arial"/>
              </w:rPr>
              <w:t>394.0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0699BCAB" w14:textId="1020D182" w:rsidR="00072192" w:rsidRPr="00072192" w:rsidRDefault="00072192" w:rsidP="00072192">
            <w:pPr>
              <w:jc w:val="center"/>
              <w:rPr>
                <w:rFonts w:cs="Arial"/>
              </w:rPr>
            </w:pPr>
            <w:r w:rsidRPr="00072192">
              <w:rPr>
                <w:rFonts w:cs="Arial"/>
              </w:rPr>
              <w:t>56 ± 7</w:t>
            </w:r>
          </w:p>
        </w:tc>
      </w:tr>
      <w:tr w:rsidR="0068123E" w:rsidRPr="00D831E7" w14:paraId="56A3B91F" w14:textId="7693CC51" w:rsidTr="0068123E">
        <w:trPr>
          <w:trHeight w:val="20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1F12391D" w14:textId="3C14E17F" w:rsidR="0068123E" w:rsidRPr="00072192" w:rsidRDefault="0068123E" w:rsidP="002022A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Cargas sostenibles</w:t>
            </w:r>
          </w:p>
        </w:tc>
      </w:tr>
      <w:tr w:rsidR="00072192" w:rsidRPr="00D831E7" w14:paraId="502681A2" w14:textId="1202001B" w:rsidTr="007C10E4">
        <w:trPr>
          <w:trHeight w:val="20"/>
          <w:jc w:val="center"/>
        </w:trPr>
        <w:tc>
          <w:tcPr>
            <w:tcW w:w="1000" w:type="pct"/>
            <w:tcBorders>
              <w:top w:val="single" w:sz="4" w:space="0" w:color="auto"/>
            </w:tcBorders>
          </w:tcPr>
          <w:p w14:paraId="0D2EF686" w14:textId="77777777" w:rsidR="00072192" w:rsidRPr="00D831E7" w:rsidRDefault="00072192" w:rsidP="00072192">
            <w:pPr>
              <w:jc w:val="center"/>
              <w:rPr>
                <w:rFonts w:cs="Arial"/>
              </w:rPr>
            </w:pPr>
            <w:r w:rsidRPr="00D831E7">
              <w:rPr>
                <w:rFonts w:cs="Arial"/>
              </w:rPr>
              <w:t>10Cel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vAlign w:val="center"/>
          </w:tcPr>
          <w:p w14:paraId="5DB42F25" w14:textId="77777777" w:rsidR="00072192" w:rsidRPr="00D831E7" w:rsidRDefault="00072192" w:rsidP="00072192">
            <w:pPr>
              <w:jc w:val="center"/>
              <w:rPr>
                <w:rFonts w:cs="Arial"/>
              </w:rPr>
            </w:pPr>
            <w:r w:rsidRPr="00D831E7">
              <w:rPr>
                <w:rFonts w:cs="Arial"/>
              </w:rPr>
              <w:t>−1.1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14:paraId="594BAD29" w14:textId="77777777" w:rsidR="00072192" w:rsidRPr="00D831E7" w:rsidRDefault="00072192" w:rsidP="00072192">
            <w:pPr>
              <w:jc w:val="center"/>
              <w:rPr>
                <w:rFonts w:cs="Arial"/>
              </w:rPr>
            </w:pPr>
            <w:r w:rsidRPr="00D831E7">
              <w:rPr>
                <w:rFonts w:cs="Arial"/>
              </w:rPr>
              <w:t>−19.3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vAlign w:val="center"/>
          </w:tcPr>
          <w:p w14:paraId="473ED2B7" w14:textId="77777777" w:rsidR="00072192" w:rsidRPr="00D831E7" w:rsidRDefault="00072192" w:rsidP="00072192">
            <w:pPr>
              <w:jc w:val="center"/>
              <w:rPr>
                <w:rFonts w:cs="Arial"/>
              </w:rPr>
            </w:pPr>
            <w:r w:rsidRPr="00D831E7">
              <w:rPr>
                <w:rFonts w:cs="Arial"/>
              </w:rPr>
              <w:t>422.3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vAlign w:val="center"/>
          </w:tcPr>
          <w:p w14:paraId="71CAD709" w14:textId="3D975876" w:rsidR="00072192" w:rsidRPr="00072192" w:rsidRDefault="00072192" w:rsidP="00072192">
            <w:pPr>
              <w:jc w:val="center"/>
              <w:rPr>
                <w:rFonts w:cs="Arial"/>
              </w:rPr>
            </w:pPr>
            <w:r w:rsidRPr="00072192">
              <w:rPr>
                <w:rFonts w:cs="Arial"/>
              </w:rPr>
              <w:t>82 ± 16</w:t>
            </w:r>
          </w:p>
        </w:tc>
      </w:tr>
      <w:tr w:rsidR="00072192" w:rsidRPr="00D831E7" w14:paraId="6EDCF22E" w14:textId="1F41302D" w:rsidTr="007C10E4">
        <w:trPr>
          <w:trHeight w:val="20"/>
          <w:jc w:val="center"/>
        </w:trPr>
        <w:tc>
          <w:tcPr>
            <w:tcW w:w="1000" w:type="pct"/>
          </w:tcPr>
          <w:p w14:paraId="704804CE" w14:textId="77777777" w:rsidR="00072192" w:rsidRPr="00D831E7" w:rsidRDefault="00072192" w:rsidP="00072192">
            <w:pPr>
              <w:jc w:val="center"/>
              <w:rPr>
                <w:rFonts w:cs="Arial"/>
              </w:rPr>
            </w:pPr>
            <w:r w:rsidRPr="00D831E7">
              <w:rPr>
                <w:rFonts w:cs="Arial"/>
              </w:rPr>
              <w:t>10Cryo</w:t>
            </w:r>
          </w:p>
        </w:tc>
        <w:tc>
          <w:tcPr>
            <w:tcW w:w="1000" w:type="pct"/>
            <w:vAlign w:val="center"/>
          </w:tcPr>
          <w:p w14:paraId="15ED54B1" w14:textId="77777777" w:rsidR="00072192" w:rsidRPr="00D831E7" w:rsidRDefault="00072192" w:rsidP="00072192">
            <w:pPr>
              <w:jc w:val="center"/>
              <w:rPr>
                <w:rFonts w:cs="Arial"/>
              </w:rPr>
            </w:pPr>
            <w:r w:rsidRPr="00D831E7">
              <w:rPr>
                <w:rFonts w:cs="Arial"/>
              </w:rPr>
              <w:t>−1.1</w:t>
            </w:r>
          </w:p>
        </w:tc>
        <w:tc>
          <w:tcPr>
            <w:tcW w:w="1000" w:type="pct"/>
          </w:tcPr>
          <w:p w14:paraId="63FF1B30" w14:textId="77777777" w:rsidR="00072192" w:rsidRPr="00D831E7" w:rsidRDefault="00072192" w:rsidP="00072192">
            <w:pPr>
              <w:jc w:val="center"/>
              <w:rPr>
                <w:rFonts w:cs="Arial"/>
              </w:rPr>
            </w:pPr>
            <w:r w:rsidRPr="00D831E7">
              <w:rPr>
                <w:rFonts w:cs="Arial"/>
              </w:rPr>
              <w:t>−17.4</w:t>
            </w:r>
          </w:p>
        </w:tc>
        <w:tc>
          <w:tcPr>
            <w:tcW w:w="1000" w:type="pct"/>
            <w:vAlign w:val="center"/>
          </w:tcPr>
          <w:p w14:paraId="4CC2F926" w14:textId="77777777" w:rsidR="00072192" w:rsidRPr="00D831E7" w:rsidRDefault="00072192" w:rsidP="00072192">
            <w:pPr>
              <w:jc w:val="center"/>
              <w:rPr>
                <w:rFonts w:cs="Arial"/>
              </w:rPr>
            </w:pPr>
            <w:r w:rsidRPr="00D831E7">
              <w:rPr>
                <w:rFonts w:cs="Arial"/>
              </w:rPr>
              <w:t>419.3</w:t>
            </w:r>
          </w:p>
        </w:tc>
        <w:tc>
          <w:tcPr>
            <w:tcW w:w="1000" w:type="pct"/>
            <w:vAlign w:val="center"/>
          </w:tcPr>
          <w:p w14:paraId="22E1F229" w14:textId="72296C53" w:rsidR="00072192" w:rsidRPr="00072192" w:rsidRDefault="00072192" w:rsidP="00072192">
            <w:pPr>
              <w:jc w:val="center"/>
              <w:rPr>
                <w:rFonts w:cs="Arial"/>
              </w:rPr>
            </w:pPr>
            <w:r w:rsidRPr="00072192">
              <w:rPr>
                <w:rFonts w:cs="Arial"/>
              </w:rPr>
              <w:t>106 ± 16</w:t>
            </w:r>
          </w:p>
        </w:tc>
      </w:tr>
      <w:tr w:rsidR="00072192" w:rsidRPr="00D831E7" w14:paraId="1DA601CA" w14:textId="50E8C8EC" w:rsidTr="007C10E4">
        <w:trPr>
          <w:trHeight w:val="20"/>
          <w:jc w:val="center"/>
        </w:trPr>
        <w:tc>
          <w:tcPr>
            <w:tcW w:w="1000" w:type="pct"/>
            <w:tcBorders>
              <w:bottom w:val="single" w:sz="4" w:space="0" w:color="auto"/>
            </w:tcBorders>
          </w:tcPr>
          <w:p w14:paraId="2D43C493" w14:textId="77777777" w:rsidR="00072192" w:rsidRPr="00D831E7" w:rsidRDefault="00072192" w:rsidP="00072192">
            <w:pPr>
              <w:jc w:val="center"/>
              <w:rPr>
                <w:rFonts w:cs="Arial"/>
              </w:rPr>
            </w:pPr>
            <w:r w:rsidRPr="00D831E7">
              <w:rPr>
                <w:rFonts w:cs="Arial"/>
              </w:rPr>
              <w:t>10WJ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1BD90A9B" w14:textId="77777777" w:rsidR="00072192" w:rsidRPr="00D831E7" w:rsidRDefault="00072192" w:rsidP="00072192">
            <w:pPr>
              <w:jc w:val="center"/>
              <w:rPr>
                <w:rFonts w:cs="Arial"/>
              </w:rPr>
            </w:pPr>
            <w:bookmarkStart w:id="14" w:name="OLE_LINK447"/>
            <w:bookmarkStart w:id="15" w:name="OLE_LINK448"/>
            <w:r w:rsidRPr="00D831E7">
              <w:rPr>
                <w:rFonts w:cs="Arial"/>
              </w:rPr>
              <w:t xml:space="preserve">  0.4</w:t>
            </w:r>
            <w:bookmarkEnd w:id="14"/>
            <w:bookmarkEnd w:id="15"/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5C284414" w14:textId="77777777" w:rsidR="00072192" w:rsidRPr="00D831E7" w:rsidRDefault="00072192" w:rsidP="00072192">
            <w:pPr>
              <w:jc w:val="center"/>
              <w:rPr>
                <w:rFonts w:cs="Arial"/>
              </w:rPr>
            </w:pPr>
            <w:r w:rsidRPr="00D831E7">
              <w:rPr>
                <w:rFonts w:cs="Arial"/>
              </w:rPr>
              <w:t>−16.6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0FC89919" w14:textId="77777777" w:rsidR="00072192" w:rsidRPr="00D831E7" w:rsidRDefault="00072192" w:rsidP="00072192">
            <w:pPr>
              <w:jc w:val="center"/>
              <w:rPr>
                <w:rFonts w:cs="Arial"/>
              </w:rPr>
            </w:pPr>
            <w:r w:rsidRPr="00D831E7">
              <w:rPr>
                <w:rFonts w:cs="Arial"/>
              </w:rPr>
              <w:t>417.5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0D70F768" w14:textId="3A2D949A" w:rsidR="00072192" w:rsidRPr="00072192" w:rsidRDefault="00072192" w:rsidP="00072192">
            <w:pPr>
              <w:jc w:val="center"/>
              <w:rPr>
                <w:rFonts w:cs="Arial"/>
              </w:rPr>
            </w:pPr>
            <w:r w:rsidRPr="00072192">
              <w:rPr>
                <w:rFonts w:cs="Arial"/>
              </w:rPr>
              <w:t>104 ± 5</w:t>
            </w:r>
          </w:p>
        </w:tc>
      </w:tr>
      <w:bookmarkEnd w:id="13"/>
    </w:tbl>
    <w:p w14:paraId="5303CB2B" w14:textId="06C7ABCE" w:rsidR="00C34323" w:rsidRDefault="00C34323" w:rsidP="00543AB3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142" w:hanging="180"/>
        <w:rPr>
          <w:bCs/>
          <w:color w:val="000000"/>
          <w:lang w:val="es-ES"/>
        </w:rPr>
      </w:pPr>
    </w:p>
    <w:p w14:paraId="24741D47" w14:textId="153848FB" w:rsidR="006E7100" w:rsidRDefault="006E7100" w:rsidP="006E7100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bCs/>
          <w:color w:val="000000"/>
          <w:lang w:val="es-ES"/>
        </w:rPr>
      </w:pPr>
      <w:r>
        <w:rPr>
          <w:bCs/>
          <w:color w:val="000000"/>
          <w:lang w:val="es-ES"/>
        </w:rPr>
        <w:t>En l</w:t>
      </w:r>
      <w:r w:rsidRPr="006E7100">
        <w:rPr>
          <w:bCs/>
          <w:color w:val="000000"/>
          <w:lang w:val="es-ES"/>
        </w:rPr>
        <w:t xml:space="preserve">a </w:t>
      </w:r>
      <w:r w:rsidRPr="006E7100">
        <w:rPr>
          <w:bCs/>
          <w:color w:val="000000"/>
          <w:lang w:val="es-ES"/>
        </w:rPr>
        <w:fldChar w:fldCharType="begin"/>
      </w:r>
      <w:r w:rsidRPr="006E7100">
        <w:rPr>
          <w:bCs/>
          <w:color w:val="000000"/>
          <w:lang w:val="es-ES"/>
        </w:rPr>
        <w:instrText xml:space="preserve"> REF _Ref193130425 \h  \* MERGEFORMAT </w:instrText>
      </w:r>
      <w:r w:rsidRPr="006E7100">
        <w:rPr>
          <w:bCs/>
          <w:color w:val="000000"/>
          <w:lang w:val="es-ES"/>
        </w:rPr>
      </w:r>
      <w:r w:rsidRPr="006E7100">
        <w:rPr>
          <w:bCs/>
          <w:color w:val="000000"/>
          <w:lang w:val="es-ES"/>
        </w:rPr>
        <w:fldChar w:fldCharType="separate"/>
      </w:r>
      <w:r w:rsidR="00393C69" w:rsidRPr="0052317D">
        <w:rPr>
          <w:lang w:val="es-ES"/>
        </w:rPr>
        <w:t xml:space="preserve">Figura </w:t>
      </w:r>
      <w:r w:rsidR="00393C69" w:rsidRPr="00393C69">
        <w:rPr>
          <w:noProof/>
          <w:lang w:val="es-ES"/>
        </w:rPr>
        <w:t>1</w:t>
      </w:r>
      <w:r w:rsidRPr="006E7100">
        <w:rPr>
          <w:bCs/>
          <w:color w:val="000000"/>
          <w:lang w:val="es-ES"/>
        </w:rPr>
        <w:fldChar w:fldCharType="end"/>
      </w:r>
      <w:bookmarkStart w:id="16" w:name="_GoBack"/>
      <w:bookmarkEnd w:id="16"/>
      <w:r>
        <w:rPr>
          <w:bCs/>
          <w:color w:val="000000"/>
          <w:lang w:val="es-ES"/>
        </w:rPr>
        <w:t xml:space="preserve"> se presentan las</w:t>
      </w:r>
      <w:r w:rsidRPr="006E7100">
        <w:rPr>
          <w:bCs/>
          <w:color w:val="000000"/>
          <w:lang w:val="es-ES"/>
        </w:rPr>
        <w:t xml:space="preserve"> curvas</w:t>
      </w:r>
      <w:r>
        <w:rPr>
          <w:bCs/>
          <w:color w:val="000000"/>
          <w:lang w:val="es-ES"/>
        </w:rPr>
        <w:t xml:space="preserve"> esfuerzo-deformación de los compuestos de XNBR.</w:t>
      </w:r>
      <w:r w:rsidRPr="006E7100">
        <w:rPr>
          <w:bCs/>
          <w:color w:val="000000"/>
          <w:lang w:val="es-ES"/>
        </w:rPr>
        <w:t xml:space="preserve"> La incorporación de </w:t>
      </w:r>
      <w:r>
        <w:rPr>
          <w:bCs/>
          <w:color w:val="000000"/>
          <w:lang w:val="es-ES"/>
        </w:rPr>
        <w:t>cargas</w:t>
      </w:r>
      <w:r w:rsidRPr="006E7100">
        <w:rPr>
          <w:bCs/>
          <w:color w:val="000000"/>
          <w:lang w:val="es-ES"/>
        </w:rPr>
        <w:t xml:space="preserve"> tiene un efecto notable en las propiedades mecánicas del elastómero</w:t>
      </w:r>
      <w:r w:rsidR="0070310A">
        <w:rPr>
          <w:bCs/>
          <w:color w:val="000000"/>
          <w:lang w:val="es-ES"/>
        </w:rPr>
        <w:t>, siendo evidente e</w:t>
      </w:r>
      <w:r w:rsidRPr="006E7100">
        <w:rPr>
          <w:bCs/>
          <w:color w:val="000000"/>
          <w:lang w:val="es-ES"/>
        </w:rPr>
        <w:t xml:space="preserve">l carácter reforzante de </w:t>
      </w:r>
      <w:r w:rsidR="0088213F">
        <w:rPr>
          <w:bCs/>
          <w:color w:val="000000"/>
          <w:lang w:val="es-ES"/>
        </w:rPr>
        <w:t>las cargas</w:t>
      </w:r>
      <w:r w:rsidRPr="006E7100">
        <w:rPr>
          <w:bCs/>
          <w:color w:val="000000"/>
          <w:lang w:val="es-ES"/>
        </w:rPr>
        <w:t xml:space="preserve"> convencionales (N234, N330, </w:t>
      </w:r>
      <w:r w:rsidR="0088213F">
        <w:rPr>
          <w:bCs/>
          <w:color w:val="000000"/>
          <w:lang w:val="es-ES"/>
        </w:rPr>
        <w:t>Sil</w:t>
      </w:r>
      <w:r w:rsidRPr="006E7100">
        <w:rPr>
          <w:bCs/>
          <w:color w:val="000000"/>
          <w:lang w:val="es-ES"/>
        </w:rPr>
        <w:t xml:space="preserve">) y </w:t>
      </w:r>
      <w:r w:rsidR="0070310A">
        <w:rPr>
          <w:bCs/>
          <w:color w:val="000000"/>
          <w:lang w:val="es-ES"/>
        </w:rPr>
        <w:t>d</w:t>
      </w:r>
      <w:r w:rsidRPr="006E7100">
        <w:rPr>
          <w:bCs/>
          <w:color w:val="000000"/>
          <w:lang w:val="es-ES"/>
        </w:rPr>
        <w:t xml:space="preserve">el WJ-GTR sostenible. </w:t>
      </w:r>
      <w:r w:rsidR="0088213F">
        <w:rPr>
          <w:bCs/>
          <w:color w:val="000000"/>
          <w:lang w:val="es-ES"/>
        </w:rPr>
        <w:t>Los refuerzos</w:t>
      </w:r>
      <w:r w:rsidRPr="006E7100">
        <w:rPr>
          <w:bCs/>
          <w:color w:val="000000"/>
          <w:lang w:val="es-ES"/>
        </w:rPr>
        <w:t xml:space="preserve"> convencionales alcanzaron resistencias a la tracción equivalentes de entre 21 MPa y 25 MPa, y elongaciones a la rotura equivalentes de entre el 12</w:t>
      </w:r>
      <w:r w:rsidR="0088213F">
        <w:rPr>
          <w:bCs/>
          <w:color w:val="000000"/>
          <w:lang w:val="es-ES"/>
        </w:rPr>
        <w:t>0</w:t>
      </w:r>
      <w:r w:rsidRPr="006E7100">
        <w:rPr>
          <w:bCs/>
          <w:color w:val="000000"/>
          <w:lang w:val="es-ES"/>
        </w:rPr>
        <w:t>0 % y el 13</w:t>
      </w:r>
      <w:r w:rsidR="0088213F">
        <w:rPr>
          <w:bCs/>
          <w:color w:val="000000"/>
          <w:lang w:val="es-ES"/>
        </w:rPr>
        <w:t>0</w:t>
      </w:r>
      <w:r w:rsidR="0070310A">
        <w:rPr>
          <w:bCs/>
          <w:color w:val="000000"/>
          <w:lang w:val="es-ES"/>
        </w:rPr>
        <w:t>0</w:t>
      </w:r>
      <w:r w:rsidRPr="006E7100">
        <w:rPr>
          <w:bCs/>
          <w:color w:val="000000"/>
          <w:lang w:val="es-ES"/>
        </w:rPr>
        <w:t xml:space="preserve"> %. Por otro lado, el WJ-GTR alcanz</w:t>
      </w:r>
      <w:r w:rsidR="0088213F">
        <w:rPr>
          <w:bCs/>
          <w:color w:val="000000"/>
          <w:lang w:val="es-ES"/>
        </w:rPr>
        <w:t>ó</w:t>
      </w:r>
      <w:r w:rsidRPr="006E7100">
        <w:rPr>
          <w:bCs/>
          <w:color w:val="000000"/>
          <w:lang w:val="es-ES"/>
        </w:rPr>
        <w:t xml:space="preserve"> valores de refuerzo similares a los de </w:t>
      </w:r>
      <w:r w:rsidR="002B3E1D">
        <w:rPr>
          <w:bCs/>
          <w:color w:val="000000"/>
          <w:lang w:val="es-ES"/>
        </w:rPr>
        <w:t>Sil</w:t>
      </w:r>
      <w:r w:rsidRPr="006E7100">
        <w:rPr>
          <w:bCs/>
          <w:color w:val="000000"/>
          <w:lang w:val="es-ES"/>
        </w:rPr>
        <w:t xml:space="preserve">, aumentando la </w:t>
      </w:r>
      <w:r w:rsidR="0070310A">
        <w:rPr>
          <w:bCs/>
          <w:color w:val="000000"/>
          <w:lang w:val="es-ES"/>
        </w:rPr>
        <w:t>resistencia a la tracción</w:t>
      </w:r>
      <w:r w:rsidRPr="006E7100">
        <w:rPr>
          <w:bCs/>
          <w:color w:val="000000"/>
          <w:lang w:val="es-ES"/>
        </w:rPr>
        <w:t xml:space="preserve"> hasta 17 MPa, además de un ligero aumento de la </w:t>
      </w:r>
      <w:r w:rsidR="0070310A">
        <w:rPr>
          <w:bCs/>
          <w:color w:val="000000"/>
          <w:lang w:val="es-ES"/>
        </w:rPr>
        <w:t>elongación a la rotura</w:t>
      </w:r>
      <w:r w:rsidRPr="006E7100">
        <w:rPr>
          <w:bCs/>
          <w:color w:val="000000"/>
          <w:lang w:val="es-ES"/>
        </w:rPr>
        <w:t xml:space="preserve">. </w:t>
      </w:r>
      <w:r w:rsidR="0070310A">
        <w:rPr>
          <w:bCs/>
          <w:color w:val="000000"/>
          <w:lang w:val="es-ES"/>
        </w:rPr>
        <w:t>Por su parte, l</w:t>
      </w:r>
      <w:r w:rsidRPr="006E7100">
        <w:rPr>
          <w:bCs/>
          <w:color w:val="000000"/>
          <w:lang w:val="es-ES"/>
        </w:rPr>
        <w:t xml:space="preserve">os </w:t>
      </w:r>
      <w:r w:rsidR="0070310A">
        <w:rPr>
          <w:bCs/>
          <w:color w:val="000000"/>
          <w:lang w:val="es-ES"/>
        </w:rPr>
        <w:t xml:space="preserve">compuestos </w:t>
      </w:r>
      <w:r w:rsidRPr="006E7100">
        <w:rPr>
          <w:bCs/>
          <w:color w:val="000000"/>
          <w:lang w:val="es-ES"/>
        </w:rPr>
        <w:t>reforzados con celulosa y crio-GTR (10Cel y 10Cryo) presenta</w:t>
      </w:r>
      <w:r w:rsidR="0070310A">
        <w:rPr>
          <w:bCs/>
          <w:color w:val="000000"/>
          <w:lang w:val="es-ES"/>
        </w:rPr>
        <w:t>ron</w:t>
      </w:r>
      <w:r w:rsidRPr="006E7100">
        <w:rPr>
          <w:bCs/>
          <w:color w:val="000000"/>
          <w:lang w:val="es-ES"/>
        </w:rPr>
        <w:t xml:space="preserve"> un efecto reforzante más moderado, incrementan</w:t>
      </w:r>
      <w:r w:rsidR="0070310A">
        <w:rPr>
          <w:bCs/>
          <w:color w:val="000000"/>
          <w:lang w:val="es-ES"/>
        </w:rPr>
        <w:t>do la resistencia a la tracción a más del doble (</w:t>
      </w:r>
      <w:r w:rsidRPr="006E7100">
        <w:rPr>
          <w:bCs/>
          <w:color w:val="000000"/>
          <w:lang w:val="es-ES"/>
        </w:rPr>
        <w:t>8,9 MPa y 7,0 MPa, respectivamente</w:t>
      </w:r>
      <w:r w:rsidR="0070310A">
        <w:rPr>
          <w:bCs/>
          <w:color w:val="000000"/>
          <w:lang w:val="es-ES"/>
        </w:rPr>
        <w:t>)</w:t>
      </w:r>
      <w:r w:rsidRPr="006E7100">
        <w:rPr>
          <w:bCs/>
          <w:color w:val="000000"/>
          <w:lang w:val="es-ES"/>
        </w:rPr>
        <w:t xml:space="preserve"> sin afectar la deformabilidad del material.</w:t>
      </w:r>
    </w:p>
    <w:p w14:paraId="7AE5D0E8" w14:textId="517F0F11" w:rsidR="001E633E" w:rsidRDefault="000A6E3B" w:rsidP="00072192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142" w:hanging="180"/>
        <w:jc w:val="center"/>
        <w:rPr>
          <w:bCs/>
          <w:color w:val="000000"/>
          <w:lang w:val="es-ES"/>
        </w:rPr>
      </w:pPr>
      <w:r>
        <w:rPr>
          <w:bCs/>
          <w:noProof/>
          <w:color w:val="000000"/>
          <w:lang w:val="es-ES"/>
        </w:rPr>
        <w:drawing>
          <wp:inline distT="0" distB="0" distL="0" distR="0" wp14:anchorId="59990C2C" wp14:editId="065FADE2">
            <wp:extent cx="5753100" cy="2219325"/>
            <wp:effectExtent l="0" t="0" r="0" b="9525"/>
            <wp:docPr id="179488194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875"/>
                    <a:stretch/>
                  </pic:blipFill>
                  <pic:spPr bwMode="auto">
                    <a:xfrm>
                      <a:off x="0" y="0"/>
                      <a:ext cx="57531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38E89A" w14:textId="3DD8E173" w:rsidR="006E7100" w:rsidRPr="006E7100" w:rsidRDefault="006E7100" w:rsidP="001E633E">
      <w:pPr>
        <w:pStyle w:val="Descripcin"/>
        <w:jc w:val="center"/>
        <w:rPr>
          <w:bCs/>
          <w:i w:val="0"/>
          <w:color w:val="auto"/>
          <w:sz w:val="22"/>
          <w:szCs w:val="22"/>
          <w:lang w:val="es-ES"/>
        </w:rPr>
      </w:pPr>
      <w:bookmarkStart w:id="17" w:name="_Ref193130425"/>
      <w:r w:rsidRPr="0052317D">
        <w:rPr>
          <w:i w:val="0"/>
          <w:color w:val="auto"/>
          <w:sz w:val="22"/>
          <w:szCs w:val="22"/>
          <w:lang w:val="es-ES"/>
        </w:rPr>
        <w:t xml:space="preserve">Figura </w:t>
      </w:r>
      <w:r w:rsidRPr="006E7100">
        <w:rPr>
          <w:i w:val="0"/>
          <w:color w:val="auto"/>
          <w:sz w:val="22"/>
          <w:szCs w:val="22"/>
        </w:rPr>
        <w:fldChar w:fldCharType="begin"/>
      </w:r>
      <w:r w:rsidRPr="0052317D">
        <w:rPr>
          <w:i w:val="0"/>
          <w:color w:val="auto"/>
          <w:sz w:val="22"/>
          <w:szCs w:val="22"/>
          <w:lang w:val="es-ES"/>
        </w:rPr>
        <w:instrText xml:space="preserve"> SEQ Figura \* ARABIC </w:instrText>
      </w:r>
      <w:r w:rsidRPr="006E7100">
        <w:rPr>
          <w:i w:val="0"/>
          <w:color w:val="auto"/>
          <w:sz w:val="22"/>
          <w:szCs w:val="22"/>
        </w:rPr>
        <w:fldChar w:fldCharType="separate"/>
      </w:r>
      <w:r w:rsidR="00725C63">
        <w:rPr>
          <w:i w:val="0"/>
          <w:noProof/>
          <w:color w:val="auto"/>
          <w:sz w:val="22"/>
          <w:szCs w:val="22"/>
          <w:lang w:val="es-ES"/>
        </w:rPr>
        <w:t>1</w:t>
      </w:r>
      <w:r w:rsidRPr="006E7100">
        <w:rPr>
          <w:i w:val="0"/>
          <w:color w:val="auto"/>
          <w:sz w:val="22"/>
          <w:szCs w:val="22"/>
        </w:rPr>
        <w:fldChar w:fldCharType="end"/>
      </w:r>
      <w:bookmarkEnd w:id="17"/>
      <w:r w:rsidRPr="0052317D">
        <w:rPr>
          <w:i w:val="0"/>
          <w:color w:val="auto"/>
          <w:sz w:val="22"/>
          <w:szCs w:val="22"/>
          <w:lang w:val="es-ES"/>
        </w:rPr>
        <w:t xml:space="preserve">. </w:t>
      </w:r>
      <w:r w:rsidR="001E633E">
        <w:rPr>
          <w:i w:val="0"/>
          <w:color w:val="auto"/>
          <w:sz w:val="22"/>
          <w:szCs w:val="22"/>
          <w:lang w:val="es-ES"/>
        </w:rPr>
        <w:t>Curvas esfuerzo-deformación de los compuestos de XNBR</w:t>
      </w:r>
      <w:r w:rsidR="0088213F">
        <w:rPr>
          <w:i w:val="0"/>
          <w:color w:val="auto"/>
          <w:sz w:val="22"/>
          <w:szCs w:val="22"/>
          <w:lang w:val="es-ES"/>
        </w:rPr>
        <w:t xml:space="preserve"> con: (a) cargas convencionales y (b) cargas sostenibles</w:t>
      </w:r>
      <w:r w:rsidR="001E633E">
        <w:rPr>
          <w:i w:val="0"/>
          <w:color w:val="auto"/>
          <w:sz w:val="22"/>
          <w:szCs w:val="22"/>
          <w:lang w:val="es-ES"/>
        </w:rPr>
        <w:t>.</w:t>
      </w:r>
    </w:p>
    <w:p w14:paraId="14D4B377" w14:textId="3EED1412" w:rsidR="00333042" w:rsidRPr="0068578C" w:rsidRDefault="00333042" w:rsidP="0068578C">
      <w:pPr>
        <w:jc w:val="both"/>
        <w:rPr>
          <w:lang w:val="es-ES"/>
        </w:rPr>
      </w:pPr>
      <w:r>
        <w:rPr>
          <w:lang w:val="es-ES"/>
        </w:rPr>
        <w:t>Con respecto a la capacidad de autorreparación de los compuestos, la</w:t>
      </w:r>
      <w:r w:rsidR="00072192">
        <w:rPr>
          <w:lang w:val="es-ES"/>
        </w:rPr>
        <w:t xml:space="preserve"> </w:t>
      </w:r>
      <w:r w:rsidR="00072192">
        <w:rPr>
          <w:lang w:val="es-ES"/>
        </w:rPr>
        <w:fldChar w:fldCharType="begin"/>
      </w:r>
      <w:r w:rsidR="00072192">
        <w:rPr>
          <w:lang w:val="es-ES"/>
        </w:rPr>
        <w:instrText xml:space="preserve"> REF _Ref193128650 \h </w:instrText>
      </w:r>
      <w:r w:rsidR="00072192">
        <w:rPr>
          <w:lang w:val="es-ES"/>
        </w:rPr>
      </w:r>
      <w:r w:rsidR="00072192">
        <w:rPr>
          <w:lang w:val="es-ES"/>
        </w:rPr>
        <w:fldChar w:fldCharType="separate"/>
      </w:r>
      <w:r w:rsidR="00072192" w:rsidRPr="00C34323">
        <w:rPr>
          <w:lang w:val="es-ES"/>
        </w:rPr>
        <w:t xml:space="preserve">Tabla </w:t>
      </w:r>
      <w:r w:rsidR="00072192">
        <w:rPr>
          <w:noProof/>
          <w:lang w:val="es-ES"/>
        </w:rPr>
        <w:t>3</w:t>
      </w:r>
      <w:r w:rsidR="00072192">
        <w:rPr>
          <w:lang w:val="es-ES"/>
        </w:rPr>
        <w:fldChar w:fldCharType="end"/>
      </w:r>
      <w:r w:rsidR="0068578C">
        <w:rPr>
          <w:lang w:val="es-ES"/>
        </w:rPr>
        <w:t xml:space="preserve"> muestra los resultados de la eficiencia de reparación considerando la recuperación de la resistencia a la tracción. De manera general, la incorporación de cargas a matrices elastoméricas representa un desafío de cara a su capacidad autorreparadora. Esto debido a que la carga limita la movilidad de las cadenas poliméricas necesaria para su </w:t>
      </w:r>
      <w:r w:rsidR="00F712C4">
        <w:rPr>
          <w:lang w:val="es-ES"/>
        </w:rPr>
        <w:t xml:space="preserve">reparación </w:t>
      </w:r>
      <w:r w:rsidR="0068578C">
        <w:rPr>
          <w:lang w:val="es-ES"/>
        </w:rPr>
        <w:t xml:space="preserve">luego de sufrir un daño </w:t>
      </w:r>
      <w:r w:rsidR="002B3E1D">
        <w:rPr>
          <w:lang w:val="es-ES"/>
        </w:rPr>
        <w:t>[</w:t>
      </w:r>
      <w:r w:rsidR="00363939">
        <w:rPr>
          <w:lang w:val="es-ES"/>
        </w:rPr>
        <w:t>8</w:t>
      </w:r>
      <w:r w:rsidR="002B3E1D">
        <w:rPr>
          <w:lang w:val="es-ES"/>
        </w:rPr>
        <w:t>]</w:t>
      </w:r>
      <w:r w:rsidR="0068578C">
        <w:rPr>
          <w:lang w:val="es-ES"/>
        </w:rPr>
        <w:t xml:space="preserve">. </w:t>
      </w:r>
      <w:r w:rsidR="0068123E">
        <w:rPr>
          <w:lang w:val="es-ES"/>
        </w:rPr>
        <w:t>P</w:t>
      </w:r>
      <w:r w:rsidR="00451F33">
        <w:rPr>
          <w:lang w:val="es-ES"/>
        </w:rPr>
        <w:t>ara los compuestos con</w:t>
      </w:r>
      <w:r w:rsidR="0068578C">
        <w:rPr>
          <w:lang w:val="es-ES"/>
        </w:rPr>
        <w:t xml:space="preserve"> cargas convencionales (</w:t>
      </w:r>
      <w:r w:rsidR="000C3E65">
        <w:rPr>
          <w:lang w:val="es-ES"/>
        </w:rPr>
        <w:t>10N234, 10</w:t>
      </w:r>
      <w:r w:rsidR="0068578C">
        <w:rPr>
          <w:lang w:val="es-ES"/>
        </w:rPr>
        <w:t xml:space="preserve">N330 y </w:t>
      </w:r>
      <w:r w:rsidR="000C3E65">
        <w:rPr>
          <w:lang w:val="es-ES"/>
        </w:rPr>
        <w:t>10</w:t>
      </w:r>
      <w:r w:rsidR="0068578C">
        <w:rPr>
          <w:lang w:val="es-ES"/>
        </w:rPr>
        <w:t>Sil)</w:t>
      </w:r>
      <w:r w:rsidR="00451F33">
        <w:rPr>
          <w:lang w:val="es-ES"/>
        </w:rPr>
        <w:t xml:space="preserve"> se alcanzaron eficiencias de reparación </w:t>
      </w:r>
      <w:r w:rsidR="0072083D">
        <w:rPr>
          <w:lang w:val="es-ES"/>
        </w:rPr>
        <w:t>modestas (</w:t>
      </w:r>
      <w:r w:rsidR="00451F33">
        <w:rPr>
          <w:lang w:val="es-ES"/>
        </w:rPr>
        <w:t>mayores al 57 %</w:t>
      </w:r>
      <w:r w:rsidR="0072083D">
        <w:rPr>
          <w:lang w:val="es-ES"/>
        </w:rPr>
        <w:t>)</w:t>
      </w:r>
      <w:r w:rsidR="00451F33">
        <w:rPr>
          <w:lang w:val="es-ES"/>
        </w:rPr>
        <w:t xml:space="preserve"> </w:t>
      </w:r>
      <w:r w:rsidR="0072083D">
        <w:rPr>
          <w:lang w:val="es-ES"/>
        </w:rPr>
        <w:t>al mismo tiempo que</w:t>
      </w:r>
      <w:r w:rsidR="00451F33">
        <w:rPr>
          <w:lang w:val="es-ES"/>
        </w:rPr>
        <w:t xml:space="preserve"> un alto poder reforzante. </w:t>
      </w:r>
      <w:r w:rsidR="0072083D">
        <w:rPr>
          <w:lang w:val="es-ES"/>
        </w:rPr>
        <w:t xml:space="preserve">Mientras que para las cargas sostenibles (10Cryo y 10WJ), se alcanzaron eficiencias de reparación mayores al 100 %. </w:t>
      </w:r>
      <w:r w:rsidR="0072083D" w:rsidRPr="0072083D">
        <w:rPr>
          <w:lang w:val="es-ES"/>
        </w:rPr>
        <w:t xml:space="preserve">Esto resulta </w:t>
      </w:r>
      <w:r w:rsidR="0068123E">
        <w:rPr>
          <w:lang w:val="es-ES"/>
        </w:rPr>
        <w:t>de gran interés</w:t>
      </w:r>
      <w:r w:rsidR="0072083D" w:rsidRPr="0072083D">
        <w:rPr>
          <w:lang w:val="es-ES"/>
        </w:rPr>
        <w:t xml:space="preserve"> considerando que el 10WJ exhibió </w:t>
      </w:r>
      <w:r w:rsidR="0072083D">
        <w:rPr>
          <w:lang w:val="es-ES"/>
        </w:rPr>
        <w:t>una capacidad de refuerzo</w:t>
      </w:r>
      <w:r w:rsidR="0072083D" w:rsidRPr="0072083D">
        <w:rPr>
          <w:lang w:val="es-ES"/>
        </w:rPr>
        <w:t xml:space="preserve"> casi equivalente a</w:t>
      </w:r>
      <w:r w:rsidR="0072083D">
        <w:rPr>
          <w:lang w:val="es-ES"/>
        </w:rPr>
        <w:t xml:space="preserve"> la </w:t>
      </w:r>
      <w:r w:rsidR="0072083D" w:rsidRPr="0072083D">
        <w:rPr>
          <w:lang w:val="es-ES"/>
        </w:rPr>
        <w:t xml:space="preserve">de los sistemas convencionales. En este sentido, </w:t>
      </w:r>
      <w:r w:rsidR="0072083D">
        <w:rPr>
          <w:lang w:val="es-ES"/>
        </w:rPr>
        <w:t>con este compuesto se logra</w:t>
      </w:r>
      <w:r w:rsidR="0072083D" w:rsidRPr="0072083D">
        <w:rPr>
          <w:lang w:val="es-ES"/>
        </w:rPr>
        <w:t xml:space="preserve"> </w:t>
      </w:r>
      <w:r w:rsidR="0072083D">
        <w:rPr>
          <w:lang w:val="es-ES"/>
        </w:rPr>
        <w:t>solventar la dicotomía presente e</w:t>
      </w:r>
      <w:r w:rsidR="0072083D" w:rsidRPr="0072083D">
        <w:rPr>
          <w:lang w:val="es-ES"/>
        </w:rPr>
        <w:t xml:space="preserve">ntre refuerzo y eficiencia de reparación. </w:t>
      </w:r>
      <w:r w:rsidR="0072083D">
        <w:rPr>
          <w:lang w:val="es-ES"/>
        </w:rPr>
        <w:t>Los</w:t>
      </w:r>
      <w:r w:rsidR="0072083D" w:rsidRPr="0072083D">
        <w:rPr>
          <w:lang w:val="es-ES"/>
        </w:rPr>
        <w:t xml:space="preserve"> grupos polares en la superficie</w:t>
      </w:r>
      <w:r w:rsidR="0072083D">
        <w:rPr>
          <w:lang w:val="es-ES"/>
        </w:rPr>
        <w:t xml:space="preserve"> del GTR</w:t>
      </w:r>
      <w:r w:rsidR="0072083D" w:rsidRPr="0072083D">
        <w:rPr>
          <w:lang w:val="es-ES"/>
        </w:rPr>
        <w:t xml:space="preserve"> </w:t>
      </w:r>
      <w:r w:rsidR="0072083D">
        <w:rPr>
          <w:lang w:val="es-ES"/>
        </w:rPr>
        <w:t xml:space="preserve">promueven interacciones iónicas, así como interacciones secundarias de tipo enlaces de hidrógeno, </w:t>
      </w:r>
      <w:r w:rsidR="00CF241B">
        <w:rPr>
          <w:lang w:val="es-ES"/>
        </w:rPr>
        <w:t xml:space="preserve">responsables de la reformación de los entrecruzamientos que conforman la red elastomérica gracias a su carácter dinámico </w:t>
      </w:r>
      <w:r w:rsidR="0072083D" w:rsidRPr="0072083D">
        <w:rPr>
          <w:lang w:val="es-ES"/>
        </w:rPr>
        <w:t>[</w:t>
      </w:r>
      <w:r w:rsidR="00363939">
        <w:rPr>
          <w:lang w:val="es-ES"/>
        </w:rPr>
        <w:t>9</w:t>
      </w:r>
      <w:r w:rsidR="0072083D" w:rsidRPr="0072083D">
        <w:rPr>
          <w:lang w:val="es-ES"/>
        </w:rPr>
        <w:t>].</w:t>
      </w:r>
    </w:p>
    <w:p w14:paraId="0ECA7F31" w14:textId="7FF20F72" w:rsidR="00CF241B" w:rsidRDefault="00CF241B" w:rsidP="006A3FAF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bCs/>
          <w:color w:val="000000"/>
          <w:lang w:val="es-ES"/>
        </w:rPr>
      </w:pPr>
      <w:r>
        <w:rPr>
          <w:bCs/>
          <w:color w:val="000000"/>
          <w:lang w:val="es-ES"/>
        </w:rPr>
        <w:t>Finalmente, se evaluó la reciclabilidad de los compuestos</w:t>
      </w:r>
      <w:r w:rsidR="006A3FAF">
        <w:rPr>
          <w:bCs/>
          <w:color w:val="000000"/>
          <w:lang w:val="es-ES"/>
        </w:rPr>
        <w:t>. E</w:t>
      </w:r>
      <w:r>
        <w:rPr>
          <w:bCs/>
          <w:color w:val="000000"/>
          <w:lang w:val="es-ES"/>
        </w:rPr>
        <w:t xml:space="preserve">n la </w:t>
      </w:r>
      <w:r w:rsidR="006A3FAF" w:rsidRPr="006A3FAF">
        <w:rPr>
          <w:bCs/>
          <w:color w:val="000000"/>
          <w:lang w:val="es-ES"/>
        </w:rPr>
        <w:fldChar w:fldCharType="begin"/>
      </w:r>
      <w:r w:rsidR="006A3FAF" w:rsidRPr="006A3FAF">
        <w:rPr>
          <w:bCs/>
          <w:color w:val="000000"/>
          <w:lang w:val="es-ES"/>
        </w:rPr>
        <w:instrText xml:space="preserve"> REF _Ref193819445 \h  \* MERGEFORMAT </w:instrText>
      </w:r>
      <w:r w:rsidR="006A3FAF" w:rsidRPr="006A3FAF">
        <w:rPr>
          <w:bCs/>
          <w:color w:val="000000"/>
          <w:lang w:val="es-ES"/>
        </w:rPr>
      </w:r>
      <w:r w:rsidR="006A3FAF" w:rsidRPr="006A3FAF">
        <w:rPr>
          <w:bCs/>
          <w:color w:val="000000"/>
          <w:lang w:val="es-ES"/>
        </w:rPr>
        <w:fldChar w:fldCharType="separate"/>
      </w:r>
      <w:r w:rsidR="00725C63" w:rsidRPr="006A3FAF">
        <w:rPr>
          <w:lang w:val="es-ES"/>
        </w:rPr>
        <w:t xml:space="preserve">Figura </w:t>
      </w:r>
      <w:r w:rsidR="00725C63" w:rsidRPr="00725C63">
        <w:rPr>
          <w:noProof/>
          <w:lang w:val="es-ES"/>
        </w:rPr>
        <w:t>2</w:t>
      </w:r>
      <w:r w:rsidR="006A3FAF" w:rsidRPr="006A3FAF">
        <w:rPr>
          <w:bCs/>
          <w:color w:val="000000"/>
          <w:lang w:val="es-ES"/>
        </w:rPr>
        <w:fldChar w:fldCharType="end"/>
      </w:r>
      <w:r w:rsidR="006A3FAF">
        <w:rPr>
          <w:bCs/>
          <w:color w:val="000000"/>
          <w:lang w:val="es-ES"/>
        </w:rPr>
        <w:t xml:space="preserve"> se observa que las propiedades en el punto de rotura de todos los compuestos son recuperables luego de un ciclo de reciclado. Destaca el comportamiento de los compuestos con </w:t>
      </w:r>
      <w:r w:rsidR="00F712C4">
        <w:rPr>
          <w:bCs/>
          <w:color w:val="000000"/>
          <w:lang w:val="es-ES"/>
        </w:rPr>
        <w:t>WJ-</w:t>
      </w:r>
      <w:r w:rsidR="006A3FAF">
        <w:rPr>
          <w:bCs/>
          <w:color w:val="000000"/>
          <w:lang w:val="es-ES"/>
        </w:rPr>
        <w:t xml:space="preserve">GTR, presentando excelente reciclabilidad, al mismo </w:t>
      </w:r>
      <w:r w:rsidR="006A3FAF">
        <w:rPr>
          <w:bCs/>
          <w:color w:val="000000"/>
          <w:lang w:val="es-ES"/>
        </w:rPr>
        <w:lastRenderedPageBreak/>
        <w:t>tiempo que capacidad autorreparadora y capacidad reforzante equivalente a la de cargas convencionales.</w:t>
      </w:r>
    </w:p>
    <w:p w14:paraId="54CEC71C" w14:textId="12378CEF" w:rsidR="006A3FAF" w:rsidRDefault="00CF1507" w:rsidP="00072192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142" w:hanging="180"/>
        <w:jc w:val="center"/>
        <w:rPr>
          <w:bCs/>
          <w:color w:val="000000"/>
          <w:lang w:val="es-ES"/>
        </w:rPr>
      </w:pPr>
      <w:r>
        <w:rPr>
          <w:bCs/>
          <w:noProof/>
          <w:color w:val="000000"/>
          <w:lang w:val="es-ES"/>
        </w:rPr>
        <w:drawing>
          <wp:inline distT="0" distB="0" distL="0" distR="0" wp14:anchorId="2B701F38" wp14:editId="742D7DAA">
            <wp:extent cx="5753100" cy="6200775"/>
            <wp:effectExtent l="0" t="0" r="0" b="9525"/>
            <wp:docPr id="75355874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20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063A9" w14:textId="16B913BE" w:rsidR="006A3FAF" w:rsidRPr="006A3FAF" w:rsidRDefault="006A3FAF" w:rsidP="006A3FAF">
      <w:pPr>
        <w:pStyle w:val="Descripcin"/>
        <w:jc w:val="center"/>
        <w:rPr>
          <w:bCs/>
          <w:i w:val="0"/>
          <w:color w:val="auto"/>
          <w:sz w:val="22"/>
          <w:szCs w:val="22"/>
          <w:lang w:val="es-ES"/>
        </w:rPr>
      </w:pPr>
      <w:bookmarkStart w:id="18" w:name="_Ref193819445"/>
      <w:r w:rsidRPr="006A3FAF">
        <w:rPr>
          <w:i w:val="0"/>
          <w:color w:val="auto"/>
          <w:sz w:val="22"/>
          <w:szCs w:val="22"/>
          <w:lang w:val="es-ES"/>
        </w:rPr>
        <w:t xml:space="preserve">Figura </w:t>
      </w:r>
      <w:r w:rsidRPr="00CF241B">
        <w:rPr>
          <w:i w:val="0"/>
          <w:color w:val="auto"/>
          <w:sz w:val="22"/>
          <w:szCs w:val="22"/>
        </w:rPr>
        <w:fldChar w:fldCharType="begin"/>
      </w:r>
      <w:r w:rsidRPr="006A3FAF">
        <w:rPr>
          <w:i w:val="0"/>
          <w:color w:val="auto"/>
          <w:sz w:val="22"/>
          <w:szCs w:val="22"/>
          <w:lang w:val="es-ES"/>
        </w:rPr>
        <w:instrText xml:space="preserve"> SEQ Figura \* ARABIC </w:instrText>
      </w:r>
      <w:r w:rsidRPr="00CF241B">
        <w:rPr>
          <w:i w:val="0"/>
          <w:color w:val="auto"/>
          <w:sz w:val="22"/>
          <w:szCs w:val="22"/>
        </w:rPr>
        <w:fldChar w:fldCharType="separate"/>
      </w:r>
      <w:r w:rsidR="00725C63">
        <w:rPr>
          <w:i w:val="0"/>
          <w:noProof/>
          <w:color w:val="auto"/>
          <w:sz w:val="22"/>
          <w:szCs w:val="22"/>
          <w:lang w:val="es-ES"/>
        </w:rPr>
        <w:t>2</w:t>
      </w:r>
      <w:r w:rsidRPr="00CF241B">
        <w:rPr>
          <w:i w:val="0"/>
          <w:color w:val="auto"/>
          <w:sz w:val="22"/>
          <w:szCs w:val="22"/>
        </w:rPr>
        <w:fldChar w:fldCharType="end"/>
      </w:r>
      <w:bookmarkEnd w:id="18"/>
      <w:r w:rsidRPr="006A3FAF">
        <w:rPr>
          <w:i w:val="0"/>
          <w:color w:val="auto"/>
          <w:sz w:val="22"/>
          <w:szCs w:val="22"/>
          <w:lang w:val="es-ES"/>
        </w:rPr>
        <w:t>. Curvas esfuerzo-deformación d</w:t>
      </w:r>
      <w:r>
        <w:rPr>
          <w:i w:val="0"/>
          <w:color w:val="auto"/>
          <w:sz w:val="22"/>
          <w:szCs w:val="22"/>
          <w:lang w:val="es-ES"/>
        </w:rPr>
        <w:t>e los compuestos de XNBR vírgenes y reciclados.</w:t>
      </w:r>
    </w:p>
    <w:p w14:paraId="6A0AAF7C" w14:textId="6201F2E6" w:rsidR="00725020" w:rsidRDefault="003561DA" w:rsidP="00543AB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42" w:hanging="180"/>
        <w:jc w:val="both"/>
        <w:rPr>
          <w:b/>
          <w:color w:val="000000"/>
          <w:sz w:val="28"/>
          <w:szCs w:val="28"/>
          <w:lang w:val="es-ES"/>
        </w:rPr>
      </w:pPr>
      <w:r>
        <w:rPr>
          <w:b/>
          <w:color w:val="000000"/>
          <w:sz w:val="28"/>
          <w:szCs w:val="28"/>
          <w:lang w:val="es-ES"/>
        </w:rPr>
        <w:t>Conclusiones</w:t>
      </w:r>
    </w:p>
    <w:p w14:paraId="05F08D16" w14:textId="0138F13A" w:rsidR="003561DA" w:rsidRPr="003561DA" w:rsidRDefault="008B63EB" w:rsidP="003561DA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lang w:val="es-ES"/>
        </w:rPr>
      </w:pPr>
      <w:r w:rsidRPr="008B63EB">
        <w:rPr>
          <w:bCs/>
          <w:color w:val="000000"/>
          <w:lang w:val="es-ES"/>
        </w:rPr>
        <w:t>L</w:t>
      </w:r>
      <w:r>
        <w:rPr>
          <w:bCs/>
          <w:color w:val="000000"/>
          <w:lang w:val="es-ES"/>
        </w:rPr>
        <w:t xml:space="preserve">as cargas seleccionadas </w:t>
      </w:r>
      <w:r w:rsidRPr="008B63EB">
        <w:rPr>
          <w:bCs/>
          <w:color w:val="000000"/>
          <w:lang w:val="es-ES"/>
        </w:rPr>
        <w:t xml:space="preserve">demostraron su capacidad </w:t>
      </w:r>
      <w:r w:rsidR="006A3FAF">
        <w:rPr>
          <w:bCs/>
          <w:color w:val="000000"/>
          <w:lang w:val="es-ES"/>
        </w:rPr>
        <w:t>reforzante</w:t>
      </w:r>
      <w:r w:rsidRPr="008B63EB">
        <w:rPr>
          <w:bCs/>
          <w:color w:val="000000"/>
          <w:lang w:val="es-ES"/>
        </w:rPr>
        <w:t xml:space="preserve">, aumentando notablemente el rendimiento mecánico del </w:t>
      </w:r>
      <w:r w:rsidR="00D037F7">
        <w:rPr>
          <w:bCs/>
          <w:color w:val="000000"/>
          <w:lang w:val="es-ES"/>
        </w:rPr>
        <w:t>XNBR</w:t>
      </w:r>
      <w:r w:rsidR="006A3FAF">
        <w:rPr>
          <w:bCs/>
          <w:color w:val="000000"/>
          <w:lang w:val="es-ES"/>
        </w:rPr>
        <w:t>.</w:t>
      </w:r>
      <w:r w:rsidRPr="008B63EB">
        <w:rPr>
          <w:bCs/>
          <w:color w:val="000000"/>
          <w:lang w:val="es-ES"/>
        </w:rPr>
        <w:t xml:space="preserve"> Además, los compuestos demostraron </w:t>
      </w:r>
      <w:r w:rsidR="00D037F7">
        <w:rPr>
          <w:bCs/>
          <w:color w:val="000000"/>
          <w:lang w:val="es-ES"/>
        </w:rPr>
        <w:t>ser reciclables</w:t>
      </w:r>
      <w:r w:rsidRPr="008B63EB">
        <w:rPr>
          <w:bCs/>
          <w:color w:val="000000"/>
          <w:lang w:val="es-ES"/>
        </w:rPr>
        <w:t>, conservando su comportamiento hiperelástico característico</w:t>
      </w:r>
      <w:r w:rsidR="006A3FAF">
        <w:rPr>
          <w:bCs/>
          <w:color w:val="000000"/>
          <w:lang w:val="es-ES"/>
        </w:rPr>
        <w:t xml:space="preserve">. </w:t>
      </w:r>
      <w:r w:rsidRPr="008B63EB">
        <w:rPr>
          <w:bCs/>
          <w:color w:val="000000"/>
          <w:lang w:val="es-ES"/>
        </w:rPr>
        <w:t xml:space="preserve">Las variaciones más significativas surgieron en la capacidad de </w:t>
      </w:r>
      <w:r>
        <w:rPr>
          <w:bCs/>
          <w:color w:val="000000"/>
          <w:lang w:val="es-ES"/>
        </w:rPr>
        <w:t>autorreparación</w:t>
      </w:r>
      <w:r w:rsidRPr="008B63EB">
        <w:rPr>
          <w:bCs/>
          <w:color w:val="000000"/>
          <w:lang w:val="es-ES"/>
        </w:rPr>
        <w:t xml:space="preserve">, que se redujo en los compuestos con </w:t>
      </w:r>
      <w:r>
        <w:rPr>
          <w:bCs/>
          <w:color w:val="000000"/>
          <w:lang w:val="es-ES"/>
        </w:rPr>
        <w:t>cargas</w:t>
      </w:r>
      <w:r w:rsidRPr="008B63EB">
        <w:rPr>
          <w:bCs/>
          <w:color w:val="000000"/>
          <w:lang w:val="es-ES"/>
        </w:rPr>
        <w:t xml:space="preserve"> convencionales, afectando así su sostenibilidad global</w:t>
      </w:r>
      <w:r w:rsidR="00CF241B">
        <w:rPr>
          <w:bCs/>
          <w:color w:val="000000"/>
          <w:lang w:val="es-ES"/>
        </w:rPr>
        <w:t>.</w:t>
      </w:r>
      <w:r w:rsidRPr="008B63EB">
        <w:rPr>
          <w:bCs/>
          <w:color w:val="000000"/>
          <w:lang w:val="es-ES"/>
        </w:rPr>
        <w:t xml:space="preserve"> Sin embargo, la integración de opciones sostenibles como la celulosa y el GTR condujo a un balance favorable entre la eficiencia de reparación, la reciclabilidad y el rendimiento mecánico</w:t>
      </w:r>
      <w:r w:rsidR="006A3FAF">
        <w:rPr>
          <w:bCs/>
          <w:color w:val="000000"/>
          <w:lang w:val="es-ES"/>
        </w:rPr>
        <w:t>.</w:t>
      </w:r>
      <w:r w:rsidRPr="008B63EB">
        <w:rPr>
          <w:bCs/>
          <w:color w:val="000000"/>
          <w:lang w:val="es-ES"/>
        </w:rPr>
        <w:t xml:space="preserve"> Cabe destacar que el compuesto con 10WJ </w:t>
      </w:r>
      <w:r w:rsidR="00D037F7">
        <w:rPr>
          <w:bCs/>
          <w:color w:val="000000"/>
          <w:lang w:val="es-ES"/>
        </w:rPr>
        <w:t>mostró</w:t>
      </w:r>
      <w:r w:rsidRPr="008B63EB">
        <w:rPr>
          <w:bCs/>
          <w:color w:val="000000"/>
          <w:lang w:val="es-ES"/>
        </w:rPr>
        <w:t xml:space="preserve"> niveles de refuerzo </w:t>
      </w:r>
      <w:r w:rsidR="00D037F7">
        <w:rPr>
          <w:bCs/>
          <w:color w:val="000000"/>
          <w:lang w:val="es-ES"/>
        </w:rPr>
        <w:t>equivalentes a l</w:t>
      </w:r>
      <w:r w:rsidRPr="008B63EB">
        <w:rPr>
          <w:bCs/>
          <w:color w:val="000000"/>
          <w:lang w:val="es-ES"/>
        </w:rPr>
        <w:t>os</w:t>
      </w:r>
      <w:r w:rsidR="00D037F7">
        <w:rPr>
          <w:bCs/>
          <w:color w:val="000000"/>
          <w:lang w:val="es-ES"/>
        </w:rPr>
        <w:t xml:space="preserve"> </w:t>
      </w:r>
      <w:r w:rsidR="002D5BB7">
        <w:rPr>
          <w:bCs/>
          <w:color w:val="000000"/>
          <w:lang w:val="es-ES"/>
        </w:rPr>
        <w:t xml:space="preserve">de </w:t>
      </w:r>
      <w:r w:rsidR="002D5BB7" w:rsidRPr="008B63EB">
        <w:rPr>
          <w:bCs/>
          <w:color w:val="000000"/>
          <w:lang w:val="es-ES"/>
        </w:rPr>
        <w:t>compuestos</w:t>
      </w:r>
      <w:r w:rsidRPr="008B63EB">
        <w:rPr>
          <w:bCs/>
          <w:color w:val="000000"/>
          <w:lang w:val="es-ES"/>
        </w:rPr>
        <w:t xml:space="preserve"> convencionales (10Sil) al tiempo que mant</w:t>
      </w:r>
      <w:r w:rsidR="00D037F7">
        <w:rPr>
          <w:bCs/>
          <w:color w:val="000000"/>
          <w:lang w:val="es-ES"/>
        </w:rPr>
        <w:t>uvo</w:t>
      </w:r>
      <w:r w:rsidRPr="008B63EB">
        <w:rPr>
          <w:bCs/>
          <w:color w:val="000000"/>
          <w:lang w:val="es-ES"/>
        </w:rPr>
        <w:t xml:space="preserve"> el 100</w:t>
      </w:r>
      <w:r w:rsidR="00533863">
        <w:rPr>
          <w:bCs/>
          <w:color w:val="000000"/>
          <w:lang w:val="es-ES"/>
        </w:rPr>
        <w:t xml:space="preserve"> </w:t>
      </w:r>
      <w:r w:rsidRPr="008B63EB">
        <w:rPr>
          <w:bCs/>
          <w:color w:val="000000"/>
          <w:lang w:val="es-ES"/>
        </w:rPr>
        <w:t xml:space="preserve">% de </w:t>
      </w:r>
      <w:r w:rsidR="00D037F7">
        <w:rPr>
          <w:bCs/>
          <w:color w:val="000000"/>
          <w:lang w:val="es-ES"/>
        </w:rPr>
        <w:t xml:space="preserve">capacidad de </w:t>
      </w:r>
      <w:r>
        <w:rPr>
          <w:bCs/>
          <w:color w:val="000000"/>
          <w:lang w:val="es-ES"/>
        </w:rPr>
        <w:t>reparación</w:t>
      </w:r>
      <w:r w:rsidRPr="008B63EB">
        <w:rPr>
          <w:bCs/>
          <w:color w:val="000000"/>
          <w:lang w:val="es-ES"/>
        </w:rPr>
        <w:t xml:space="preserve"> y </w:t>
      </w:r>
      <w:r w:rsidRPr="008B63EB">
        <w:rPr>
          <w:bCs/>
          <w:color w:val="000000"/>
          <w:lang w:val="es-ES"/>
        </w:rPr>
        <w:lastRenderedPageBreak/>
        <w:t>recicla</w:t>
      </w:r>
      <w:r w:rsidR="00D037F7">
        <w:rPr>
          <w:bCs/>
          <w:color w:val="000000"/>
          <w:lang w:val="es-ES"/>
        </w:rPr>
        <w:t>bilidad.</w:t>
      </w:r>
      <w:r>
        <w:rPr>
          <w:bCs/>
          <w:color w:val="000000"/>
          <w:lang w:val="es-ES"/>
        </w:rPr>
        <w:t xml:space="preserve"> En conclusión, e</w:t>
      </w:r>
      <w:r w:rsidR="003561DA" w:rsidRPr="003561DA">
        <w:rPr>
          <w:bCs/>
          <w:color w:val="000000"/>
          <w:lang w:val="es-ES"/>
        </w:rPr>
        <w:t>ste estudio pone de manifiesto el potencial de emplear materiales sostenibles y reciclados en la industria del caucho, contribuyendo significativamente al desarrollo de compuestos elastoméricos respetuosos con el medio ambiente</w:t>
      </w:r>
      <w:r w:rsidR="00CF241B">
        <w:rPr>
          <w:bCs/>
          <w:color w:val="000000"/>
          <w:lang w:val="es-ES"/>
        </w:rPr>
        <w:t>.</w:t>
      </w:r>
    </w:p>
    <w:p w14:paraId="251FE7C6" w14:textId="62FC2C9E" w:rsidR="004114FA" w:rsidRPr="0017131B" w:rsidRDefault="00543AB3" w:rsidP="00543AB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42" w:hanging="18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s-ES"/>
        </w:rPr>
        <w:t>B</w:t>
      </w:r>
      <w:proofErr w:type="spellStart"/>
      <w:r w:rsidR="004114FA" w:rsidRPr="0017131B">
        <w:rPr>
          <w:b/>
          <w:color w:val="000000"/>
          <w:sz w:val="28"/>
          <w:szCs w:val="28"/>
        </w:rPr>
        <w:t>ibliografía</w:t>
      </w:r>
      <w:proofErr w:type="spellEnd"/>
    </w:p>
    <w:p w14:paraId="7E9863EE" w14:textId="7390B30E" w:rsidR="00452854" w:rsidRPr="007537CB" w:rsidRDefault="00855137" w:rsidP="00543AB3">
      <w:pPr>
        <w:pBdr>
          <w:top w:val="nil"/>
          <w:left w:val="nil"/>
          <w:bottom w:val="nil"/>
          <w:right w:val="nil"/>
          <w:between w:val="nil"/>
        </w:pBdr>
        <w:ind w:left="284" w:hanging="297"/>
        <w:jc w:val="both"/>
        <w:rPr>
          <w:bCs/>
          <w:color w:val="000000"/>
        </w:rPr>
      </w:pPr>
      <w:r w:rsidRPr="00596841">
        <w:rPr>
          <w:bCs/>
          <w:color w:val="000000"/>
        </w:rPr>
        <w:t xml:space="preserve">[1] </w:t>
      </w:r>
      <w:r w:rsidR="00596841" w:rsidRPr="00596841">
        <w:rPr>
          <w:bCs/>
          <w:color w:val="000000"/>
        </w:rPr>
        <w:t>Araujo-Morera, J</w:t>
      </w:r>
      <w:r w:rsidR="002022A6">
        <w:rPr>
          <w:bCs/>
          <w:color w:val="000000"/>
        </w:rPr>
        <w:t>.</w:t>
      </w:r>
      <w:r w:rsidR="00596841" w:rsidRPr="00596841">
        <w:rPr>
          <w:bCs/>
          <w:color w:val="000000"/>
        </w:rPr>
        <w:t>; Utrera-Barrios, S</w:t>
      </w:r>
      <w:r w:rsidR="002022A6">
        <w:rPr>
          <w:bCs/>
          <w:color w:val="000000"/>
        </w:rPr>
        <w:t>.</w:t>
      </w:r>
      <w:r w:rsidR="00596841" w:rsidRPr="00596841">
        <w:rPr>
          <w:bCs/>
          <w:color w:val="000000"/>
        </w:rPr>
        <w:t>; Olivares, R</w:t>
      </w:r>
      <w:r w:rsidR="002022A6">
        <w:rPr>
          <w:bCs/>
          <w:color w:val="000000"/>
        </w:rPr>
        <w:t>.</w:t>
      </w:r>
      <w:r w:rsidR="00596841" w:rsidRPr="00596841">
        <w:rPr>
          <w:bCs/>
          <w:color w:val="000000"/>
        </w:rPr>
        <w:t>; Verdugo Manzanares, R</w:t>
      </w:r>
      <w:r w:rsidR="002022A6">
        <w:rPr>
          <w:bCs/>
          <w:color w:val="000000"/>
        </w:rPr>
        <w:t>.</w:t>
      </w:r>
      <w:r w:rsidR="00596841" w:rsidRPr="00596841">
        <w:rPr>
          <w:bCs/>
          <w:color w:val="000000"/>
        </w:rPr>
        <w:t>; López-Manchado, M</w:t>
      </w:r>
      <w:r w:rsidR="002022A6">
        <w:rPr>
          <w:bCs/>
          <w:color w:val="000000"/>
        </w:rPr>
        <w:t>.</w:t>
      </w:r>
      <w:r w:rsidR="00596841" w:rsidRPr="00596841">
        <w:rPr>
          <w:bCs/>
          <w:color w:val="000000"/>
        </w:rPr>
        <w:t>Á</w:t>
      </w:r>
      <w:r w:rsidR="002022A6">
        <w:rPr>
          <w:bCs/>
          <w:color w:val="000000"/>
        </w:rPr>
        <w:t>.</w:t>
      </w:r>
      <w:r w:rsidR="00596841" w:rsidRPr="00596841">
        <w:rPr>
          <w:bCs/>
          <w:color w:val="000000"/>
        </w:rPr>
        <w:t>; Verdejo, R</w:t>
      </w:r>
      <w:r w:rsidR="002022A6">
        <w:rPr>
          <w:bCs/>
          <w:color w:val="000000"/>
        </w:rPr>
        <w:t>.</w:t>
      </w:r>
      <w:r w:rsidR="00596841" w:rsidRPr="00596841">
        <w:rPr>
          <w:bCs/>
          <w:color w:val="000000"/>
        </w:rPr>
        <w:t>; Hernández Santana, M</w:t>
      </w:r>
      <w:r w:rsidR="002022A6">
        <w:rPr>
          <w:bCs/>
          <w:color w:val="000000"/>
        </w:rPr>
        <w:t>.</w:t>
      </w:r>
      <w:r w:rsidR="00596841" w:rsidRPr="00596841">
        <w:rPr>
          <w:bCs/>
          <w:color w:val="000000"/>
        </w:rPr>
        <w:t xml:space="preserve"> Solving the Dichotomy between Self-Healing and Mechanical Properties in Rubber Composites by Combining Reinforcing and Sustainable Fillers</w:t>
      </w:r>
      <w:r w:rsidR="00AA7818">
        <w:rPr>
          <w:bCs/>
          <w:color w:val="000000"/>
        </w:rPr>
        <w:t>,</w:t>
      </w:r>
      <w:r w:rsidR="00596841" w:rsidRPr="00596841">
        <w:rPr>
          <w:bCs/>
          <w:color w:val="000000"/>
        </w:rPr>
        <w:t xml:space="preserve"> </w:t>
      </w:r>
      <w:r w:rsidR="00596841" w:rsidRPr="007537CB">
        <w:rPr>
          <w:bCs/>
          <w:color w:val="000000"/>
        </w:rPr>
        <w:t>Macromol Mater Eng, 2200261, 2022</w:t>
      </w:r>
      <w:r w:rsidR="00AA7818">
        <w:rPr>
          <w:bCs/>
          <w:color w:val="000000"/>
        </w:rPr>
        <w:t>,</w:t>
      </w:r>
      <w:r w:rsidR="00596841" w:rsidRPr="007537CB">
        <w:rPr>
          <w:bCs/>
          <w:color w:val="000000"/>
        </w:rPr>
        <w:t xml:space="preserve"> DOI: 10</w:t>
      </w:r>
      <w:r w:rsidR="002022A6">
        <w:rPr>
          <w:bCs/>
          <w:color w:val="000000"/>
        </w:rPr>
        <w:t>.</w:t>
      </w:r>
      <w:r w:rsidR="00596841" w:rsidRPr="007537CB">
        <w:rPr>
          <w:bCs/>
          <w:color w:val="000000"/>
        </w:rPr>
        <w:t>1002/mame</w:t>
      </w:r>
      <w:r w:rsidR="002022A6">
        <w:rPr>
          <w:bCs/>
          <w:color w:val="000000"/>
        </w:rPr>
        <w:t>.</w:t>
      </w:r>
      <w:r w:rsidR="00596841" w:rsidRPr="007537CB">
        <w:rPr>
          <w:bCs/>
          <w:color w:val="000000"/>
        </w:rPr>
        <w:t>202200261</w:t>
      </w:r>
      <w:r w:rsidR="002022A6">
        <w:rPr>
          <w:bCs/>
          <w:color w:val="000000"/>
        </w:rPr>
        <w:t>.</w:t>
      </w:r>
    </w:p>
    <w:p w14:paraId="4113B0D2" w14:textId="682F65E3" w:rsidR="00596841" w:rsidRDefault="00596841" w:rsidP="00543AB3">
      <w:pPr>
        <w:autoSpaceDE w:val="0"/>
        <w:autoSpaceDN w:val="0"/>
        <w:ind w:left="284" w:hanging="297"/>
        <w:jc w:val="both"/>
        <w:rPr>
          <w:rFonts w:eastAsia="Times New Roman"/>
        </w:rPr>
      </w:pPr>
      <w:r w:rsidRPr="00596841">
        <w:rPr>
          <w:bCs/>
          <w:color w:val="000000"/>
        </w:rPr>
        <w:t>[</w:t>
      </w:r>
      <w:r>
        <w:rPr>
          <w:bCs/>
          <w:color w:val="000000"/>
        </w:rPr>
        <w:t>2</w:t>
      </w:r>
      <w:r w:rsidRPr="00596841">
        <w:rPr>
          <w:bCs/>
          <w:color w:val="000000"/>
        </w:rPr>
        <w:t>]</w:t>
      </w:r>
      <w:r>
        <w:rPr>
          <w:bCs/>
          <w:color w:val="000000"/>
        </w:rPr>
        <w:t xml:space="preserve"> </w:t>
      </w:r>
      <w:r>
        <w:rPr>
          <w:rFonts w:eastAsia="Times New Roman"/>
        </w:rPr>
        <w:t>Hernández Santana, M</w:t>
      </w:r>
      <w:r w:rsidR="002022A6">
        <w:rPr>
          <w:rFonts w:eastAsia="Times New Roman"/>
        </w:rPr>
        <w:t>.</w:t>
      </w:r>
      <w:r>
        <w:rPr>
          <w:rFonts w:eastAsia="Times New Roman"/>
        </w:rPr>
        <w:t>; Huete, M</w:t>
      </w:r>
      <w:r w:rsidR="002022A6">
        <w:rPr>
          <w:rFonts w:eastAsia="Times New Roman"/>
        </w:rPr>
        <w:t>.</w:t>
      </w:r>
      <w:r>
        <w:rPr>
          <w:rFonts w:eastAsia="Times New Roman"/>
        </w:rPr>
        <w:t>; Lameda, P</w:t>
      </w:r>
      <w:r w:rsidR="002022A6">
        <w:rPr>
          <w:rFonts w:eastAsia="Times New Roman"/>
        </w:rPr>
        <w:t>.</w:t>
      </w:r>
      <w:r>
        <w:rPr>
          <w:rFonts w:eastAsia="Times New Roman"/>
        </w:rPr>
        <w:t>; Araujo, J</w:t>
      </w:r>
      <w:r w:rsidR="002022A6">
        <w:rPr>
          <w:rFonts w:eastAsia="Times New Roman"/>
        </w:rPr>
        <w:t>.</w:t>
      </w:r>
      <w:r>
        <w:rPr>
          <w:rFonts w:eastAsia="Times New Roman"/>
        </w:rPr>
        <w:t>; Verdejo, R</w:t>
      </w:r>
      <w:r w:rsidR="002022A6">
        <w:rPr>
          <w:rFonts w:eastAsia="Times New Roman"/>
        </w:rPr>
        <w:t>.</w:t>
      </w:r>
      <w:r>
        <w:rPr>
          <w:rFonts w:eastAsia="Times New Roman"/>
        </w:rPr>
        <w:t>; López-Manchado, M</w:t>
      </w:r>
      <w:r w:rsidR="002022A6">
        <w:rPr>
          <w:rFonts w:eastAsia="Times New Roman"/>
        </w:rPr>
        <w:t>.</w:t>
      </w:r>
      <w:r>
        <w:rPr>
          <w:rFonts w:eastAsia="Times New Roman"/>
        </w:rPr>
        <w:t>A</w:t>
      </w:r>
      <w:r w:rsidR="002022A6">
        <w:rPr>
          <w:rFonts w:eastAsia="Times New Roman"/>
        </w:rPr>
        <w:t>.</w:t>
      </w:r>
      <w:r>
        <w:rPr>
          <w:rFonts w:eastAsia="Times New Roman"/>
        </w:rPr>
        <w:t xml:space="preserve"> Design of a New Generation of Sustainable SBR Compounds with Good Trade-off between Mechanical Properties and Self-Healing Ability</w:t>
      </w:r>
      <w:r w:rsidR="00AA7818"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r w:rsidRPr="00596841">
        <w:rPr>
          <w:rFonts w:eastAsia="Times New Roman"/>
          <w:iCs/>
        </w:rPr>
        <w:t>Eur Polym J</w:t>
      </w:r>
      <w:r>
        <w:rPr>
          <w:rFonts w:eastAsia="Times New Roman"/>
          <w:iCs/>
        </w:rPr>
        <w:t>,</w:t>
      </w:r>
      <w:r w:rsidRPr="00596841">
        <w:rPr>
          <w:rFonts w:eastAsia="Times New Roman"/>
        </w:rPr>
        <w:t xml:space="preserve"> </w:t>
      </w:r>
      <w:r w:rsidRPr="00596841">
        <w:rPr>
          <w:rFonts w:eastAsia="Times New Roman"/>
          <w:iCs/>
        </w:rPr>
        <w:t>106</w:t>
      </w:r>
      <w:r w:rsidRPr="00596841">
        <w:rPr>
          <w:rFonts w:eastAsia="Times New Roman"/>
        </w:rPr>
        <w:t>, 273–283</w:t>
      </w:r>
      <w:r>
        <w:rPr>
          <w:rFonts w:eastAsia="Times New Roman"/>
        </w:rPr>
        <w:t xml:space="preserve">, </w:t>
      </w:r>
      <w:r w:rsidRPr="00596841">
        <w:rPr>
          <w:rFonts w:eastAsia="Times New Roman"/>
          <w:bCs/>
        </w:rPr>
        <w:t>2018</w:t>
      </w:r>
      <w:r w:rsidR="00AA7818">
        <w:rPr>
          <w:rFonts w:eastAsia="Times New Roman"/>
        </w:rPr>
        <w:t>,</w:t>
      </w:r>
      <w:r>
        <w:rPr>
          <w:rFonts w:eastAsia="Times New Roman"/>
        </w:rPr>
        <w:t xml:space="preserve"> DOI: 10</w:t>
      </w:r>
      <w:r w:rsidR="002022A6">
        <w:rPr>
          <w:rFonts w:eastAsia="Times New Roman"/>
        </w:rPr>
        <w:t>.</w:t>
      </w:r>
      <w:r>
        <w:rPr>
          <w:rFonts w:eastAsia="Times New Roman"/>
        </w:rPr>
        <w:t>1016/J</w:t>
      </w:r>
      <w:r w:rsidR="002022A6">
        <w:rPr>
          <w:rFonts w:eastAsia="Times New Roman"/>
        </w:rPr>
        <w:t>.</w:t>
      </w:r>
      <w:r>
        <w:rPr>
          <w:rFonts w:eastAsia="Times New Roman"/>
        </w:rPr>
        <w:t>EURPOLYMJ</w:t>
      </w:r>
      <w:r w:rsidR="002022A6">
        <w:rPr>
          <w:rFonts w:eastAsia="Times New Roman"/>
        </w:rPr>
        <w:t>.</w:t>
      </w:r>
      <w:r>
        <w:rPr>
          <w:rFonts w:eastAsia="Times New Roman"/>
        </w:rPr>
        <w:t>2018</w:t>
      </w:r>
      <w:r w:rsidR="002022A6">
        <w:rPr>
          <w:rFonts w:eastAsia="Times New Roman"/>
        </w:rPr>
        <w:t>.</w:t>
      </w:r>
      <w:r>
        <w:rPr>
          <w:rFonts w:eastAsia="Times New Roman"/>
        </w:rPr>
        <w:t>07</w:t>
      </w:r>
      <w:r w:rsidR="002022A6">
        <w:rPr>
          <w:rFonts w:eastAsia="Times New Roman"/>
        </w:rPr>
        <w:t>.</w:t>
      </w:r>
      <w:r>
        <w:rPr>
          <w:rFonts w:eastAsia="Times New Roman"/>
        </w:rPr>
        <w:t>040</w:t>
      </w:r>
      <w:r w:rsidR="002022A6">
        <w:rPr>
          <w:rFonts w:eastAsia="Times New Roman"/>
        </w:rPr>
        <w:t>.</w:t>
      </w:r>
    </w:p>
    <w:p w14:paraId="2B732D73" w14:textId="0C523986" w:rsidR="00596841" w:rsidRDefault="00596841" w:rsidP="00543AB3">
      <w:pPr>
        <w:autoSpaceDE w:val="0"/>
        <w:autoSpaceDN w:val="0"/>
        <w:ind w:left="284" w:hanging="297"/>
        <w:jc w:val="both"/>
        <w:rPr>
          <w:rFonts w:eastAsia="Times New Roman"/>
        </w:rPr>
      </w:pPr>
      <w:r w:rsidRPr="00596841">
        <w:rPr>
          <w:bCs/>
          <w:color w:val="000000"/>
        </w:rPr>
        <w:t>[</w:t>
      </w:r>
      <w:r>
        <w:rPr>
          <w:bCs/>
          <w:color w:val="000000"/>
        </w:rPr>
        <w:t>3</w:t>
      </w:r>
      <w:r w:rsidRPr="00596841">
        <w:rPr>
          <w:bCs/>
          <w:color w:val="000000"/>
        </w:rPr>
        <w:t>]</w:t>
      </w:r>
      <w:r>
        <w:rPr>
          <w:rFonts w:eastAsia="Times New Roman"/>
        </w:rPr>
        <w:t xml:space="preserve"> </w:t>
      </w:r>
      <w:r>
        <w:rPr>
          <w:rFonts w:eastAsia="Times New Roman"/>
        </w:rPr>
        <w:tab/>
        <w:t>Yu, H</w:t>
      </w:r>
      <w:r w:rsidR="002022A6">
        <w:rPr>
          <w:rFonts w:eastAsia="Times New Roman"/>
        </w:rPr>
        <w:t>.</w:t>
      </w:r>
      <w:r>
        <w:rPr>
          <w:rFonts w:eastAsia="Times New Roman"/>
        </w:rPr>
        <w:t>; Feng, Y</w:t>
      </w:r>
      <w:r w:rsidR="002022A6">
        <w:rPr>
          <w:rFonts w:eastAsia="Times New Roman"/>
        </w:rPr>
        <w:t>.</w:t>
      </w:r>
      <w:r>
        <w:rPr>
          <w:rFonts w:eastAsia="Times New Roman"/>
        </w:rPr>
        <w:t>; Gao, L</w:t>
      </w:r>
      <w:r w:rsidR="002022A6">
        <w:rPr>
          <w:rFonts w:eastAsia="Times New Roman"/>
        </w:rPr>
        <w:t>.</w:t>
      </w:r>
      <w:r>
        <w:rPr>
          <w:rFonts w:eastAsia="Times New Roman"/>
        </w:rPr>
        <w:t>; Chen, C</w:t>
      </w:r>
      <w:r w:rsidR="002022A6">
        <w:rPr>
          <w:rFonts w:eastAsia="Times New Roman"/>
        </w:rPr>
        <w:t>.</w:t>
      </w:r>
      <w:r>
        <w:rPr>
          <w:rFonts w:eastAsia="Times New Roman"/>
        </w:rPr>
        <w:t>; Zhang, Z</w:t>
      </w:r>
      <w:r w:rsidR="002022A6">
        <w:rPr>
          <w:rFonts w:eastAsia="Times New Roman"/>
        </w:rPr>
        <w:t>.</w:t>
      </w:r>
      <w:r>
        <w:rPr>
          <w:rFonts w:eastAsia="Times New Roman"/>
        </w:rPr>
        <w:t>; Feng, W</w:t>
      </w:r>
      <w:r w:rsidR="002022A6">
        <w:rPr>
          <w:rFonts w:eastAsia="Times New Roman"/>
        </w:rPr>
        <w:t>.</w:t>
      </w:r>
      <w:r>
        <w:rPr>
          <w:rFonts w:eastAsia="Times New Roman"/>
        </w:rPr>
        <w:t xml:space="preserve"> Self-Healing High Strength and Thermal Conductivity of 3D Graphene/PDMS Composites by the Optimization of Multiple Molecular Interactions</w:t>
      </w:r>
      <w:r w:rsidR="00AA7818"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r w:rsidRPr="00596841">
        <w:rPr>
          <w:rFonts w:eastAsia="Times New Roman"/>
          <w:iCs/>
        </w:rPr>
        <w:t>Macromolecules</w:t>
      </w:r>
      <w:r>
        <w:rPr>
          <w:rFonts w:eastAsia="Times New Roman"/>
          <w:iCs/>
        </w:rPr>
        <w:t>,</w:t>
      </w:r>
      <w:r w:rsidRPr="00596841">
        <w:rPr>
          <w:rFonts w:eastAsia="Times New Roman"/>
        </w:rPr>
        <w:t xml:space="preserve"> </w:t>
      </w:r>
      <w:r w:rsidRPr="00596841">
        <w:rPr>
          <w:rFonts w:eastAsia="Times New Roman"/>
          <w:iCs/>
        </w:rPr>
        <w:t>53</w:t>
      </w:r>
      <w:r>
        <w:rPr>
          <w:rFonts w:eastAsia="Times New Roman"/>
          <w:iCs/>
        </w:rPr>
        <w:t>,</w:t>
      </w:r>
      <w:r>
        <w:rPr>
          <w:rFonts w:eastAsia="Times New Roman"/>
          <w:i/>
          <w:iCs/>
        </w:rPr>
        <w:t xml:space="preserve"> </w:t>
      </w:r>
      <w:r w:rsidRPr="00596841">
        <w:rPr>
          <w:rFonts w:eastAsia="Times New Roman"/>
          <w:bCs/>
        </w:rPr>
        <w:t>2020</w:t>
      </w:r>
      <w:r w:rsidR="00AA7818">
        <w:rPr>
          <w:rFonts w:eastAsia="Times New Roman"/>
          <w:bCs/>
        </w:rPr>
        <w:t>,</w:t>
      </w:r>
      <w:r>
        <w:rPr>
          <w:rFonts w:eastAsia="Times New Roman"/>
        </w:rPr>
        <w:t xml:space="preserve"> </w:t>
      </w:r>
      <w:r w:rsidRPr="00596841">
        <w:rPr>
          <w:rFonts w:eastAsia="Times New Roman"/>
          <w:iCs/>
        </w:rPr>
        <w:t>DOI:</w:t>
      </w:r>
      <w:r>
        <w:rPr>
          <w:rFonts w:eastAsia="Times New Roman"/>
          <w:i/>
          <w:iCs/>
        </w:rPr>
        <w:t xml:space="preserve"> </w:t>
      </w:r>
      <w:r>
        <w:rPr>
          <w:rFonts w:eastAsia="Times New Roman"/>
        </w:rPr>
        <w:t>10</w:t>
      </w:r>
      <w:r w:rsidR="002022A6">
        <w:rPr>
          <w:rFonts w:eastAsia="Times New Roman"/>
        </w:rPr>
        <w:t>.</w:t>
      </w:r>
      <w:r>
        <w:rPr>
          <w:rFonts w:eastAsia="Times New Roman"/>
        </w:rPr>
        <w:t>1021/acs</w:t>
      </w:r>
      <w:r w:rsidR="002022A6">
        <w:rPr>
          <w:rFonts w:eastAsia="Times New Roman"/>
        </w:rPr>
        <w:t>.m</w:t>
      </w:r>
      <w:r>
        <w:rPr>
          <w:rFonts w:eastAsia="Times New Roman"/>
        </w:rPr>
        <w:t>acromol</w:t>
      </w:r>
      <w:r w:rsidR="002022A6">
        <w:rPr>
          <w:rFonts w:eastAsia="Times New Roman"/>
        </w:rPr>
        <w:t>.</w:t>
      </w:r>
      <w:r>
        <w:rPr>
          <w:rFonts w:eastAsia="Times New Roman"/>
        </w:rPr>
        <w:t>9b02544</w:t>
      </w:r>
      <w:r w:rsidR="002022A6">
        <w:rPr>
          <w:rFonts w:eastAsia="Times New Roman"/>
        </w:rPr>
        <w:t>.</w:t>
      </w:r>
    </w:p>
    <w:p w14:paraId="7CA3615A" w14:textId="09561DC1" w:rsidR="00596841" w:rsidRDefault="00596841" w:rsidP="00543AB3">
      <w:pPr>
        <w:autoSpaceDE w:val="0"/>
        <w:autoSpaceDN w:val="0"/>
        <w:ind w:left="284" w:hanging="297"/>
        <w:jc w:val="both"/>
        <w:rPr>
          <w:rFonts w:eastAsia="Times New Roman"/>
        </w:rPr>
      </w:pPr>
      <w:r w:rsidRPr="00596841">
        <w:rPr>
          <w:bCs/>
          <w:color w:val="000000"/>
        </w:rPr>
        <w:t>[</w:t>
      </w:r>
      <w:r>
        <w:rPr>
          <w:bCs/>
          <w:color w:val="000000"/>
        </w:rPr>
        <w:t>4</w:t>
      </w:r>
      <w:r w:rsidRPr="00596841">
        <w:rPr>
          <w:bCs/>
          <w:color w:val="000000"/>
        </w:rPr>
        <w:t>]</w:t>
      </w:r>
      <w:r>
        <w:rPr>
          <w:rFonts w:eastAsia="Times New Roman"/>
        </w:rPr>
        <w:t xml:space="preserve"> </w:t>
      </w:r>
      <w:r>
        <w:rPr>
          <w:rFonts w:eastAsia="Times New Roman"/>
        </w:rPr>
        <w:tab/>
        <w:t>Zhang, L</w:t>
      </w:r>
      <w:r w:rsidR="002022A6">
        <w:rPr>
          <w:rFonts w:eastAsia="Times New Roman"/>
        </w:rPr>
        <w:t>.</w:t>
      </w:r>
      <w:r>
        <w:rPr>
          <w:rFonts w:eastAsia="Times New Roman"/>
        </w:rPr>
        <w:t>; Wang, H</w:t>
      </w:r>
      <w:r w:rsidR="002022A6">
        <w:rPr>
          <w:rFonts w:eastAsia="Times New Roman"/>
        </w:rPr>
        <w:t>.</w:t>
      </w:r>
      <w:r>
        <w:rPr>
          <w:rFonts w:eastAsia="Times New Roman"/>
        </w:rPr>
        <w:t>; Zhu, Y</w:t>
      </w:r>
      <w:r w:rsidR="002022A6">
        <w:rPr>
          <w:rFonts w:eastAsia="Times New Roman"/>
        </w:rPr>
        <w:t>.</w:t>
      </w:r>
      <w:r>
        <w:rPr>
          <w:rFonts w:eastAsia="Times New Roman"/>
        </w:rPr>
        <w:t>; Xiong, H</w:t>
      </w:r>
      <w:r w:rsidR="002022A6">
        <w:rPr>
          <w:rFonts w:eastAsia="Times New Roman"/>
        </w:rPr>
        <w:t>.</w:t>
      </w:r>
      <w:r>
        <w:rPr>
          <w:rFonts w:eastAsia="Times New Roman"/>
        </w:rPr>
        <w:t>; Wu, Q</w:t>
      </w:r>
      <w:r w:rsidR="002022A6">
        <w:rPr>
          <w:rFonts w:eastAsia="Times New Roman"/>
        </w:rPr>
        <w:t>.</w:t>
      </w:r>
      <w:r>
        <w:rPr>
          <w:rFonts w:eastAsia="Times New Roman"/>
        </w:rPr>
        <w:t>; Gu, S</w:t>
      </w:r>
      <w:r w:rsidR="002022A6">
        <w:rPr>
          <w:rFonts w:eastAsia="Times New Roman"/>
        </w:rPr>
        <w:t>.</w:t>
      </w:r>
      <w:r>
        <w:rPr>
          <w:rFonts w:eastAsia="Times New Roman"/>
        </w:rPr>
        <w:t>; Liu, X</w:t>
      </w:r>
      <w:r w:rsidR="002022A6">
        <w:rPr>
          <w:rFonts w:eastAsia="Times New Roman"/>
        </w:rPr>
        <w:t>.</w:t>
      </w:r>
      <w:r>
        <w:rPr>
          <w:rFonts w:eastAsia="Times New Roman"/>
        </w:rPr>
        <w:t>; Huang, G</w:t>
      </w:r>
      <w:r w:rsidR="002022A6">
        <w:rPr>
          <w:rFonts w:eastAsia="Times New Roman"/>
        </w:rPr>
        <w:t>.</w:t>
      </w:r>
      <w:r>
        <w:rPr>
          <w:rFonts w:eastAsia="Times New Roman"/>
        </w:rPr>
        <w:t>; Wu, J</w:t>
      </w:r>
      <w:r w:rsidR="002022A6">
        <w:rPr>
          <w:rFonts w:eastAsia="Times New Roman"/>
        </w:rPr>
        <w:t>.</w:t>
      </w:r>
      <w:r>
        <w:rPr>
          <w:rFonts w:eastAsia="Times New Roman"/>
        </w:rPr>
        <w:t xml:space="preserve"> Electron-Donating Effect Enabled Simultaneous Improvement on the Mechanical and Self-Healing Properties of </w:t>
      </w:r>
      <w:proofErr w:type="spellStart"/>
      <w:r>
        <w:rPr>
          <w:rFonts w:eastAsia="Times New Roman"/>
        </w:rPr>
        <w:t>Bromobutyl</w:t>
      </w:r>
      <w:proofErr w:type="spellEnd"/>
      <w:r>
        <w:rPr>
          <w:rFonts w:eastAsia="Times New Roman"/>
        </w:rPr>
        <w:t xml:space="preserve"> Rubber Ionomers</w:t>
      </w:r>
      <w:r w:rsidR="00AA7818"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r w:rsidRPr="008B63EB">
        <w:rPr>
          <w:rFonts w:eastAsia="Times New Roman"/>
          <w:iCs/>
        </w:rPr>
        <w:t>ACS Appl Mater Interfaces</w:t>
      </w:r>
      <w:r w:rsidRPr="008B63EB">
        <w:rPr>
          <w:rFonts w:eastAsia="Times New Roman"/>
        </w:rPr>
        <w:t xml:space="preserve"> </w:t>
      </w:r>
      <w:r w:rsidR="008B63EB" w:rsidRPr="008B63EB">
        <w:rPr>
          <w:rFonts w:eastAsia="Times New Roman"/>
          <w:iCs/>
        </w:rPr>
        <w:t>12</w:t>
      </w:r>
      <w:r w:rsidR="008B63EB" w:rsidRPr="008B63EB">
        <w:rPr>
          <w:rFonts w:eastAsia="Times New Roman"/>
        </w:rPr>
        <w:t>,</w:t>
      </w:r>
      <w:r w:rsidR="008B63EB">
        <w:rPr>
          <w:rFonts w:eastAsia="Times New Roman"/>
        </w:rPr>
        <w:t xml:space="preserve"> 53239–53246, </w:t>
      </w:r>
      <w:r w:rsidRPr="008B63EB">
        <w:rPr>
          <w:rFonts w:eastAsia="Times New Roman"/>
          <w:bCs/>
        </w:rPr>
        <w:t>2020</w:t>
      </w:r>
      <w:r w:rsidR="00AA7818">
        <w:rPr>
          <w:rFonts w:eastAsia="Times New Roman"/>
          <w:bCs/>
        </w:rPr>
        <w:t>,</w:t>
      </w:r>
      <w:r w:rsidR="008B63EB">
        <w:rPr>
          <w:rFonts w:eastAsia="Times New Roman"/>
          <w:bCs/>
        </w:rPr>
        <w:t xml:space="preserve"> DOI: </w:t>
      </w:r>
      <w:r>
        <w:rPr>
          <w:rFonts w:eastAsia="Times New Roman"/>
        </w:rPr>
        <w:t>10</w:t>
      </w:r>
      <w:r w:rsidR="002022A6">
        <w:rPr>
          <w:rFonts w:eastAsia="Times New Roman"/>
        </w:rPr>
        <w:t>.</w:t>
      </w:r>
      <w:r>
        <w:rPr>
          <w:rFonts w:eastAsia="Times New Roman"/>
        </w:rPr>
        <w:t>1021/acsami</w:t>
      </w:r>
      <w:r w:rsidR="002022A6">
        <w:rPr>
          <w:rFonts w:eastAsia="Times New Roman"/>
        </w:rPr>
        <w:t>.</w:t>
      </w:r>
      <w:r>
        <w:rPr>
          <w:rFonts w:eastAsia="Times New Roman"/>
        </w:rPr>
        <w:t>0c14901</w:t>
      </w:r>
      <w:r w:rsidR="002022A6">
        <w:rPr>
          <w:rFonts w:eastAsia="Times New Roman"/>
        </w:rPr>
        <w:t>.</w:t>
      </w:r>
    </w:p>
    <w:p w14:paraId="35F407AB" w14:textId="12733ED9" w:rsidR="002022A6" w:rsidRDefault="00725969" w:rsidP="002022A6">
      <w:pPr>
        <w:autoSpaceDE w:val="0"/>
        <w:autoSpaceDN w:val="0"/>
        <w:ind w:left="284" w:hanging="297"/>
        <w:jc w:val="both"/>
        <w:rPr>
          <w:rFonts w:eastAsia="Times New Roman"/>
        </w:rPr>
      </w:pPr>
      <w:r>
        <w:rPr>
          <w:rFonts w:eastAsia="Times New Roman"/>
        </w:rPr>
        <w:t>[</w:t>
      </w:r>
      <w:r w:rsidR="00F07C3E">
        <w:rPr>
          <w:rFonts w:eastAsia="Times New Roman"/>
        </w:rPr>
        <w:t>5</w:t>
      </w:r>
      <w:r>
        <w:rPr>
          <w:rFonts w:eastAsia="Times New Roman"/>
        </w:rPr>
        <w:t>] J. Araujo-Morera; R. Verdugo-Manzanares; S. González; R. Verdejo; M.A. Lopez-Manchado; M.H. Santana, On the Use of Mechano-Chemically Modified Ground Tire Rubber (GTR) as Recycled and Sustainable Filler in Styrene-Butadiene Rubber (SBR) Composites, J Compos Sci, 5, 68, 2021, DOI: 10.3390/JCS5030068.</w:t>
      </w:r>
    </w:p>
    <w:p w14:paraId="6F687696" w14:textId="5F6847DC" w:rsidR="00725969" w:rsidRDefault="00725969" w:rsidP="002022A6">
      <w:pPr>
        <w:autoSpaceDE w:val="0"/>
        <w:autoSpaceDN w:val="0"/>
        <w:ind w:left="284" w:hanging="297"/>
        <w:jc w:val="both"/>
        <w:rPr>
          <w:rFonts w:eastAsia="Times New Roman"/>
        </w:rPr>
      </w:pPr>
      <w:r>
        <w:rPr>
          <w:rFonts w:eastAsia="Times New Roman"/>
        </w:rPr>
        <w:t>[</w:t>
      </w:r>
      <w:r w:rsidR="00363939">
        <w:rPr>
          <w:rFonts w:eastAsia="Times New Roman"/>
        </w:rPr>
        <w:t>6</w:t>
      </w:r>
      <w:r>
        <w:rPr>
          <w:rFonts w:eastAsia="Times New Roman"/>
        </w:rPr>
        <w:t xml:space="preserve">] </w:t>
      </w:r>
      <w:r w:rsidRPr="00725969">
        <w:rPr>
          <w:rFonts w:eastAsia="Times New Roman"/>
        </w:rPr>
        <w:t>S. Utrera-Barrios</w:t>
      </w:r>
      <w:r>
        <w:rPr>
          <w:rFonts w:eastAsia="Times New Roman"/>
        </w:rPr>
        <w:t>;</w:t>
      </w:r>
      <w:r w:rsidRPr="00725969">
        <w:rPr>
          <w:rFonts w:eastAsia="Times New Roman"/>
        </w:rPr>
        <w:t xml:space="preserve"> R. Verdugo Manzanares</w:t>
      </w:r>
      <w:r>
        <w:rPr>
          <w:rFonts w:eastAsia="Times New Roman"/>
        </w:rPr>
        <w:t>;</w:t>
      </w:r>
      <w:r w:rsidRPr="00725969">
        <w:rPr>
          <w:rFonts w:eastAsia="Times New Roman"/>
        </w:rPr>
        <w:t xml:space="preserve"> A.M. Grande</w:t>
      </w:r>
      <w:r>
        <w:rPr>
          <w:rFonts w:eastAsia="Times New Roman"/>
        </w:rPr>
        <w:t>;</w:t>
      </w:r>
      <w:r w:rsidRPr="00725969">
        <w:rPr>
          <w:rFonts w:eastAsia="Times New Roman"/>
        </w:rPr>
        <w:t xml:space="preserve"> R. Verdejo</w:t>
      </w:r>
      <w:r>
        <w:rPr>
          <w:rFonts w:eastAsia="Times New Roman"/>
        </w:rPr>
        <w:t>;</w:t>
      </w:r>
      <w:r w:rsidRPr="00725969">
        <w:rPr>
          <w:rFonts w:eastAsia="Times New Roman"/>
        </w:rPr>
        <w:t xml:space="preserve"> M.Á. López-Manchado</w:t>
      </w:r>
      <w:r>
        <w:rPr>
          <w:rFonts w:eastAsia="Times New Roman"/>
        </w:rPr>
        <w:t>;</w:t>
      </w:r>
      <w:r w:rsidRPr="00725969">
        <w:rPr>
          <w:rFonts w:eastAsia="Times New Roman"/>
        </w:rPr>
        <w:t xml:space="preserve"> M. Hernández Santana, New insights into the molecular structure and dynamics of a recyclable and ionically crosslinked carboxylated nitrile rubber (XNBR), Mater Des</w:t>
      </w:r>
      <w:r>
        <w:rPr>
          <w:rFonts w:eastAsia="Times New Roman"/>
        </w:rPr>
        <w:t>,</w:t>
      </w:r>
      <w:r w:rsidRPr="00725969">
        <w:rPr>
          <w:rFonts w:eastAsia="Times New Roman"/>
        </w:rPr>
        <w:t xml:space="preserve"> 233</w:t>
      </w:r>
      <w:r>
        <w:rPr>
          <w:rFonts w:eastAsia="Times New Roman"/>
        </w:rPr>
        <w:t>,</w:t>
      </w:r>
      <w:r w:rsidRPr="00725969">
        <w:rPr>
          <w:rFonts w:eastAsia="Times New Roman"/>
        </w:rPr>
        <w:t xml:space="preserve"> 112273</w:t>
      </w:r>
      <w:r>
        <w:rPr>
          <w:rFonts w:eastAsia="Times New Roman"/>
        </w:rPr>
        <w:t>,</w:t>
      </w:r>
      <w:r w:rsidR="002B3E1D">
        <w:rPr>
          <w:rFonts w:eastAsia="Times New Roman"/>
        </w:rPr>
        <w:t xml:space="preserve"> </w:t>
      </w:r>
      <w:r w:rsidRPr="00725969">
        <w:rPr>
          <w:rFonts w:eastAsia="Times New Roman"/>
        </w:rPr>
        <w:t>2023</w:t>
      </w:r>
      <w:r>
        <w:rPr>
          <w:rFonts w:eastAsia="Times New Roman"/>
        </w:rPr>
        <w:t>,</w:t>
      </w:r>
      <w:r w:rsidRPr="00725969">
        <w:rPr>
          <w:rFonts w:eastAsia="Times New Roman"/>
        </w:rPr>
        <w:t xml:space="preserve"> </w:t>
      </w:r>
      <w:r>
        <w:rPr>
          <w:rFonts w:eastAsia="Times New Roman"/>
        </w:rPr>
        <w:t>DOI: 10.1016/J.MATDES.2023.112273.</w:t>
      </w:r>
    </w:p>
    <w:p w14:paraId="687D4DEA" w14:textId="15C24EFF" w:rsidR="00725969" w:rsidRDefault="00725969" w:rsidP="002022A6">
      <w:pPr>
        <w:autoSpaceDE w:val="0"/>
        <w:autoSpaceDN w:val="0"/>
        <w:ind w:left="284" w:hanging="297"/>
        <w:jc w:val="both"/>
        <w:rPr>
          <w:rFonts w:eastAsia="Times New Roman"/>
        </w:rPr>
      </w:pPr>
      <w:r>
        <w:rPr>
          <w:rFonts w:eastAsia="Times New Roman"/>
        </w:rPr>
        <w:t>[</w:t>
      </w:r>
      <w:r w:rsidR="00363939">
        <w:rPr>
          <w:rFonts w:eastAsia="Times New Roman"/>
        </w:rPr>
        <w:t>7</w:t>
      </w:r>
      <w:r>
        <w:rPr>
          <w:rFonts w:eastAsia="Times New Roman"/>
        </w:rPr>
        <w:t>] S. Utrera-Barrios; N. Steenackers; S. Terryn; P. Ferrentino; R. Verdejo; G. Van Asche; M.A. López-Manchado; J. Brancart; M. Hernández Santana, Unlocking the potential of self-healing and recyclable ionic elastomers for soft robotics applications, Mater Horiz, 11, 708–725, 2024, DOI: 10.1039/D3MH01312J.</w:t>
      </w:r>
    </w:p>
    <w:p w14:paraId="26930D2D" w14:textId="72E1AF98" w:rsidR="00725969" w:rsidRPr="00725969" w:rsidRDefault="00725969" w:rsidP="00725969">
      <w:pPr>
        <w:autoSpaceDE w:val="0"/>
        <w:autoSpaceDN w:val="0"/>
        <w:ind w:left="284" w:hanging="297"/>
        <w:jc w:val="both"/>
        <w:rPr>
          <w:rFonts w:eastAsia="Times New Roman"/>
        </w:rPr>
      </w:pPr>
      <w:r>
        <w:rPr>
          <w:rFonts w:eastAsia="Times New Roman"/>
        </w:rPr>
        <w:t>[</w:t>
      </w:r>
      <w:r w:rsidR="00363939">
        <w:rPr>
          <w:rFonts w:eastAsia="Times New Roman"/>
        </w:rPr>
        <w:t>8</w:t>
      </w:r>
      <w:r>
        <w:rPr>
          <w:rFonts w:eastAsia="Times New Roman"/>
        </w:rPr>
        <w:t xml:space="preserve">] </w:t>
      </w:r>
      <w:r w:rsidRPr="00725969">
        <w:rPr>
          <w:rFonts w:eastAsia="Times New Roman"/>
        </w:rPr>
        <w:t>H. Hu</w:t>
      </w:r>
      <w:r>
        <w:rPr>
          <w:rFonts w:eastAsia="Times New Roman"/>
        </w:rPr>
        <w:t>;</w:t>
      </w:r>
      <w:r w:rsidRPr="00725969">
        <w:rPr>
          <w:rFonts w:eastAsia="Times New Roman"/>
        </w:rPr>
        <w:t xml:space="preserve"> Q. Gao</w:t>
      </w:r>
      <w:r>
        <w:rPr>
          <w:rFonts w:eastAsia="Times New Roman"/>
        </w:rPr>
        <w:t>;</w:t>
      </w:r>
      <w:r w:rsidRPr="00725969">
        <w:rPr>
          <w:rFonts w:eastAsia="Times New Roman"/>
        </w:rPr>
        <w:t xml:space="preserve"> G. Tian</w:t>
      </w:r>
      <w:r>
        <w:rPr>
          <w:rFonts w:eastAsia="Times New Roman"/>
        </w:rPr>
        <w:t>;</w:t>
      </w:r>
      <w:r w:rsidRPr="00725969">
        <w:rPr>
          <w:rFonts w:eastAsia="Times New Roman"/>
        </w:rPr>
        <w:t xml:space="preserve"> S. Hong</w:t>
      </w:r>
      <w:r>
        <w:rPr>
          <w:rFonts w:eastAsia="Times New Roman"/>
        </w:rPr>
        <w:t>;</w:t>
      </w:r>
      <w:r w:rsidRPr="00725969">
        <w:rPr>
          <w:rFonts w:eastAsia="Times New Roman"/>
        </w:rPr>
        <w:t xml:space="preserve"> J. Zhao</w:t>
      </w:r>
      <w:r>
        <w:rPr>
          <w:rFonts w:eastAsia="Times New Roman"/>
        </w:rPr>
        <w:t>;</w:t>
      </w:r>
      <w:r w:rsidRPr="00725969">
        <w:rPr>
          <w:rFonts w:eastAsia="Times New Roman"/>
        </w:rPr>
        <w:t xml:space="preserve"> Y. Zhao, The influence of topology and morphology of fillers on the conductivity and mechanical properties of rubber composites, J Polym Res</w:t>
      </w:r>
      <w:r w:rsidR="002B3E1D">
        <w:rPr>
          <w:rFonts w:eastAsia="Times New Roman"/>
        </w:rPr>
        <w:t>,</w:t>
      </w:r>
      <w:r w:rsidRPr="00725969">
        <w:rPr>
          <w:rFonts w:eastAsia="Times New Roman"/>
        </w:rPr>
        <w:t xml:space="preserve"> 25</w:t>
      </w:r>
      <w:r w:rsidR="002B3E1D">
        <w:rPr>
          <w:rFonts w:eastAsia="Times New Roman"/>
        </w:rPr>
        <w:t>,</w:t>
      </w:r>
      <w:r w:rsidRPr="00725969">
        <w:rPr>
          <w:rFonts w:eastAsia="Times New Roman"/>
        </w:rPr>
        <w:t xml:space="preserve"> </w:t>
      </w:r>
      <w:r w:rsidR="002B3E1D" w:rsidRPr="00725969">
        <w:rPr>
          <w:rFonts w:eastAsia="Times New Roman"/>
        </w:rPr>
        <w:t>1–10</w:t>
      </w:r>
      <w:r w:rsidR="002B3E1D">
        <w:rPr>
          <w:rFonts w:eastAsia="Times New Roman"/>
        </w:rPr>
        <w:t xml:space="preserve">, </w:t>
      </w:r>
      <w:r w:rsidRPr="00725969">
        <w:rPr>
          <w:rFonts w:eastAsia="Times New Roman"/>
        </w:rPr>
        <w:t>2018</w:t>
      </w:r>
      <w:r w:rsidR="002B3E1D">
        <w:rPr>
          <w:rFonts w:eastAsia="Times New Roman"/>
        </w:rPr>
        <w:t xml:space="preserve">, DOI: </w:t>
      </w:r>
      <w:r w:rsidRPr="00725969">
        <w:rPr>
          <w:rFonts w:eastAsia="Times New Roman"/>
        </w:rPr>
        <w:t>10.1007/S10965-018-1478-6/FIGURES/8.</w:t>
      </w:r>
    </w:p>
    <w:p w14:paraId="30E54FAC" w14:textId="1F129E71" w:rsidR="002B3E1D" w:rsidRDefault="002B3E1D" w:rsidP="00725969">
      <w:pPr>
        <w:autoSpaceDE w:val="0"/>
        <w:autoSpaceDN w:val="0"/>
        <w:ind w:left="284" w:hanging="297"/>
        <w:jc w:val="both"/>
        <w:rPr>
          <w:rFonts w:eastAsia="Times New Roman"/>
        </w:rPr>
      </w:pPr>
      <w:r>
        <w:rPr>
          <w:rFonts w:eastAsia="Times New Roman"/>
        </w:rPr>
        <w:t>[</w:t>
      </w:r>
      <w:r w:rsidR="00363939">
        <w:rPr>
          <w:rFonts w:eastAsia="Times New Roman"/>
        </w:rPr>
        <w:t>9</w:t>
      </w:r>
      <w:r>
        <w:rPr>
          <w:rFonts w:eastAsia="Times New Roman"/>
        </w:rPr>
        <w:t xml:space="preserve">] </w:t>
      </w:r>
      <w:r w:rsidRPr="002B3E1D">
        <w:rPr>
          <w:rFonts w:eastAsia="Times New Roman"/>
        </w:rPr>
        <w:t>D.Y.S. Low</w:t>
      </w:r>
      <w:r>
        <w:rPr>
          <w:rFonts w:eastAsia="Times New Roman"/>
        </w:rPr>
        <w:t>;</w:t>
      </w:r>
      <w:r w:rsidRPr="002B3E1D">
        <w:rPr>
          <w:rFonts w:eastAsia="Times New Roman"/>
        </w:rPr>
        <w:t xml:space="preserve"> J. Supramaniam</w:t>
      </w:r>
      <w:r>
        <w:rPr>
          <w:rFonts w:eastAsia="Times New Roman"/>
        </w:rPr>
        <w:t>;</w:t>
      </w:r>
      <w:r w:rsidRPr="002B3E1D">
        <w:rPr>
          <w:rFonts w:eastAsia="Times New Roman"/>
        </w:rPr>
        <w:t xml:space="preserve"> W.D. Leong</w:t>
      </w:r>
      <w:r>
        <w:rPr>
          <w:rFonts w:eastAsia="Times New Roman"/>
        </w:rPr>
        <w:t>;</w:t>
      </w:r>
      <w:r w:rsidRPr="002B3E1D">
        <w:rPr>
          <w:rFonts w:eastAsia="Times New Roman"/>
        </w:rPr>
        <w:t xml:space="preserve"> A. </w:t>
      </w:r>
      <w:proofErr w:type="spellStart"/>
      <w:r w:rsidRPr="002B3E1D">
        <w:rPr>
          <w:rFonts w:eastAsia="Times New Roman"/>
        </w:rPr>
        <w:t>Soottitantawat</w:t>
      </w:r>
      <w:proofErr w:type="spellEnd"/>
      <w:r>
        <w:rPr>
          <w:rFonts w:eastAsia="Times New Roman"/>
        </w:rPr>
        <w:t>;</w:t>
      </w:r>
      <w:r w:rsidRPr="002B3E1D">
        <w:rPr>
          <w:rFonts w:eastAsia="Times New Roman"/>
        </w:rPr>
        <w:t xml:space="preserve"> T. </w:t>
      </w:r>
      <w:proofErr w:type="spellStart"/>
      <w:r w:rsidRPr="002B3E1D">
        <w:rPr>
          <w:rFonts w:eastAsia="Times New Roman"/>
        </w:rPr>
        <w:t>Charinpanitkul</w:t>
      </w:r>
      <w:proofErr w:type="spellEnd"/>
      <w:r>
        <w:rPr>
          <w:rFonts w:eastAsia="Times New Roman"/>
        </w:rPr>
        <w:t>;</w:t>
      </w:r>
      <w:r w:rsidRPr="002B3E1D">
        <w:rPr>
          <w:rFonts w:eastAsia="Times New Roman"/>
        </w:rPr>
        <w:t xml:space="preserve"> W. </w:t>
      </w:r>
      <w:proofErr w:type="spellStart"/>
      <w:r w:rsidRPr="002B3E1D">
        <w:rPr>
          <w:rFonts w:eastAsia="Times New Roman"/>
        </w:rPr>
        <w:t>Tanthapanichakoon</w:t>
      </w:r>
      <w:proofErr w:type="spellEnd"/>
      <w:r>
        <w:rPr>
          <w:rFonts w:eastAsia="Times New Roman"/>
        </w:rPr>
        <w:t>;</w:t>
      </w:r>
      <w:r w:rsidRPr="002B3E1D">
        <w:rPr>
          <w:rFonts w:eastAsia="Times New Roman"/>
        </w:rPr>
        <w:t xml:space="preserve"> S. Manickam</w:t>
      </w:r>
      <w:r>
        <w:rPr>
          <w:rFonts w:eastAsia="Times New Roman"/>
        </w:rPr>
        <w:t>;</w:t>
      </w:r>
      <w:r w:rsidRPr="002B3E1D">
        <w:rPr>
          <w:rFonts w:eastAsia="Times New Roman"/>
        </w:rPr>
        <w:t xml:space="preserve"> K.W. Tan</w:t>
      </w:r>
      <w:r>
        <w:rPr>
          <w:rFonts w:eastAsia="Times New Roman"/>
        </w:rPr>
        <w:t>;</w:t>
      </w:r>
      <w:r w:rsidRPr="002B3E1D">
        <w:rPr>
          <w:rFonts w:eastAsia="Times New Roman"/>
        </w:rPr>
        <w:t xml:space="preserve"> B.H. Goh</w:t>
      </w:r>
      <w:r>
        <w:rPr>
          <w:rFonts w:eastAsia="Times New Roman"/>
        </w:rPr>
        <w:t>;</w:t>
      </w:r>
      <w:r w:rsidRPr="002B3E1D">
        <w:rPr>
          <w:rFonts w:eastAsia="Times New Roman"/>
        </w:rPr>
        <w:t xml:space="preserve"> S.Y. Tang, Self-healing synthetic rubber composites: review of recent progress and future directions towards sustainability, Materials Today Sustain</w:t>
      </w:r>
      <w:r>
        <w:rPr>
          <w:rFonts w:eastAsia="Times New Roman"/>
        </w:rPr>
        <w:t>,</w:t>
      </w:r>
      <w:r w:rsidRPr="002B3E1D">
        <w:rPr>
          <w:rFonts w:eastAsia="Times New Roman"/>
        </w:rPr>
        <w:t xml:space="preserve"> 24</w:t>
      </w:r>
      <w:r>
        <w:rPr>
          <w:rFonts w:eastAsia="Times New Roman"/>
        </w:rPr>
        <w:t>,</w:t>
      </w:r>
      <w:r w:rsidRPr="002B3E1D">
        <w:rPr>
          <w:rFonts w:eastAsia="Times New Roman"/>
        </w:rPr>
        <w:t xml:space="preserve"> 100545</w:t>
      </w:r>
      <w:r>
        <w:rPr>
          <w:rFonts w:eastAsia="Times New Roman"/>
        </w:rPr>
        <w:t xml:space="preserve">, </w:t>
      </w:r>
      <w:r w:rsidRPr="002B3E1D">
        <w:rPr>
          <w:rFonts w:eastAsia="Times New Roman"/>
        </w:rPr>
        <w:t>2023</w:t>
      </w:r>
      <w:r>
        <w:rPr>
          <w:rFonts w:eastAsia="Times New Roman"/>
        </w:rPr>
        <w:t xml:space="preserve">, DOI: </w:t>
      </w:r>
      <w:r w:rsidRPr="002B3E1D">
        <w:rPr>
          <w:rFonts w:eastAsia="Times New Roman"/>
        </w:rPr>
        <w:t>10.1016/j.mtsust.2023.100545.</w:t>
      </w:r>
    </w:p>
    <w:sectPr w:rsidR="002B3E1D" w:rsidSect="00CC2445">
      <w:headerReference w:type="default" r:id="rId11"/>
      <w:footerReference w:type="default" r:id="rId12"/>
      <w:pgSz w:w="11906" w:h="16838"/>
      <w:pgMar w:top="1306" w:right="1418" w:bottom="1418" w:left="1418" w:header="39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8D4DB" w14:textId="77777777" w:rsidR="007036D4" w:rsidRDefault="007036D4">
      <w:pPr>
        <w:spacing w:after="0" w:line="240" w:lineRule="auto"/>
      </w:pPr>
      <w:r>
        <w:separator/>
      </w:r>
    </w:p>
  </w:endnote>
  <w:endnote w:type="continuationSeparator" w:id="0">
    <w:p w14:paraId="4361FA96" w14:textId="77777777" w:rsidR="007036D4" w:rsidRDefault="00703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2" w14:textId="23E20B52" w:rsidR="002022A6" w:rsidRDefault="002022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0000033" w14:textId="77777777" w:rsidR="002022A6" w:rsidRDefault="002022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07032" w14:textId="77777777" w:rsidR="007036D4" w:rsidRDefault="007036D4">
      <w:pPr>
        <w:spacing w:after="0" w:line="240" w:lineRule="auto"/>
      </w:pPr>
      <w:r>
        <w:separator/>
      </w:r>
    </w:p>
  </w:footnote>
  <w:footnote w:type="continuationSeparator" w:id="0">
    <w:p w14:paraId="7BDDAD2B" w14:textId="77777777" w:rsidR="007036D4" w:rsidRDefault="00703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F" w14:textId="5185043B" w:rsidR="002022A6" w:rsidRDefault="002022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0000030" w14:textId="2A8FDFD1" w:rsidR="002022A6" w:rsidRDefault="002022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0000031" w14:textId="68E07E7F" w:rsidR="002022A6" w:rsidRDefault="002022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53F55AC1" wp14:editId="06A781FF">
              <wp:simplePos x="0" y="0"/>
              <wp:positionH relativeFrom="column">
                <wp:posOffset>38101</wp:posOffset>
              </wp:positionH>
              <wp:positionV relativeFrom="paragraph">
                <wp:posOffset>673100</wp:posOffset>
              </wp:positionV>
              <wp:extent cx="0" cy="12700"/>
              <wp:effectExtent l="0" t="0" r="0" b="0"/>
              <wp:wrapNone/>
              <wp:docPr id="19" name="Connector de fletxa recta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61830" y="3780000"/>
                        <a:ext cx="576834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C7C3FD9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9" o:spid="_x0000_s1026" type="#_x0000_t32" style="position:absolute;margin-left:3pt;margin-top:53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OI87wEAAM0DAAAOAAAAZHJzL2Uyb0RvYy54bWysU8mOEzEQvSPxD5bvpLNMMplWOnNIGC4I&#10;IgEfUOOl28KbXCad/D1lJ2RYDkiIPrjLdi3vvSpvHk/OsqNKaILv+Gwy5Ux5EaTxfce/fH56s+YM&#10;M3gJNnjV8bNC/rh9/WozxlbNwxCsVIlREo/tGDs+5BzbpkExKAc4CVF5utQhOci0TX0jE4yU3dlm&#10;Pp2umjEkGVMQCpFO95dLvq35tVYif9QaVWa244Qt1zXV9bmszXYDbZ8gDkZcYcA/oHBgPBW9pdpD&#10;BvYtmT9SOSNSwKDzRATXBK2NUJUDsZlNf2PzaYCoKhcSB+NNJvx/acWH4yExI6l3D5x5cNSjXfCe&#10;hAuJScW0VfkELNEBMPIhwcaILcXt/CFddxgPqbA/6eTKn3ixU8fnd6vZekGynzu+uF9P6bsIrk6Z&#10;CXJY3q/WiztyEORR75qXJDFhfqeCY8XoOOYEph/yDd2sCg7H95gJBgX+CCgIfHgy1tbuWs/Gjj8s&#10;50uqAzRj2kIm00Vijb6vaTBYI0tICa7Tp3Y2sSPQ3MivswKbKvziVcrtAYeLU726sHMm00xb4zpe&#10;OV9JDwrkWy9ZPkcS2dNz4AUYOs6sosdDRsWbwdi/+xEa6wlUacZF/mI9B3muXannNDMV9nW+y1D+&#10;vK/RL69w+x0AAP//AwBQSwMEFAAGAAgAAAAhAOvNQo7XAAAABwEAAA8AAABkcnMvZG93bnJldi54&#10;bWxMj8FOwzAMhu9IvEPkSdxYMoaqqTSdJiQOO00MHiBtvLYicaomy7q3xz3Byf79W78/V/vZO5Fx&#10;ikMgDZu1AoHUBjtQp+H76+N5ByImQ9a4QKjhjhH29eNDZUobbvSJ+Zw6wSEUS6OhT2kspYxtj97E&#10;dRiR2LuEyZvEcuqkncyNw72TL0oV0puB+EJvRnzvsf05X72GQz52W7k95ftAr5gKl4+hOWn9tJoP&#10;byASzulvGRZ8RoeamZpwJRuF01DwJ4nHamnYX0qz6J0CWVfyP3/9CwAA//8DAFBLAQItABQABgAI&#10;AAAAIQC2gziS/gAAAOEBAAATAAAAAAAAAAAAAAAAAAAAAABbQ29udGVudF9UeXBlc10ueG1sUEsB&#10;Ai0AFAAGAAgAAAAhADj9If/WAAAAlAEAAAsAAAAAAAAAAAAAAAAALwEAAF9yZWxzLy5yZWxzUEsB&#10;Ai0AFAAGAAgAAAAhAETk4jzvAQAAzQMAAA4AAAAAAAAAAAAAAAAALgIAAGRycy9lMm9Eb2MueG1s&#10;UEsBAi0AFAAGAAgAAAAhAOvNQo7XAAAABwEAAA8AAAAAAAAAAAAAAAAASQQAAGRycy9kb3ducmV2&#10;LnhtbFBLBQYAAAAABAAEAPMAAABNBQAAAAA=&#10;" strokecolor="black [3200]">
              <v:stroke startarrowwidth="narrow" startarrowlength="short" endarrowwidth="narrow" endarrowlength="short"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307E7"/>
    <w:multiLevelType w:val="hybridMultilevel"/>
    <w:tmpl w:val="9DFA18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1B9F"/>
    <w:multiLevelType w:val="multilevel"/>
    <w:tmpl w:val="B69E4A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lang w:val="en-US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D7736B"/>
    <w:multiLevelType w:val="multilevel"/>
    <w:tmpl w:val="8E6431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723DBA"/>
    <w:multiLevelType w:val="multilevel"/>
    <w:tmpl w:val="8E6431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46299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BB058E4"/>
    <w:multiLevelType w:val="multilevel"/>
    <w:tmpl w:val="8E6431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683C3C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163"/>
    <w:rsid w:val="00004163"/>
    <w:rsid w:val="00040C66"/>
    <w:rsid w:val="00052F11"/>
    <w:rsid w:val="00054587"/>
    <w:rsid w:val="0005534C"/>
    <w:rsid w:val="0007144D"/>
    <w:rsid w:val="00072192"/>
    <w:rsid w:val="00076530"/>
    <w:rsid w:val="00076EAA"/>
    <w:rsid w:val="000902AE"/>
    <w:rsid w:val="000926DF"/>
    <w:rsid w:val="000A6E3B"/>
    <w:rsid w:val="000B573B"/>
    <w:rsid w:val="000C3E65"/>
    <w:rsid w:val="000F655C"/>
    <w:rsid w:val="00156A67"/>
    <w:rsid w:val="0017131B"/>
    <w:rsid w:val="001E633E"/>
    <w:rsid w:val="002022A6"/>
    <w:rsid w:val="0024053F"/>
    <w:rsid w:val="00251901"/>
    <w:rsid w:val="00264B07"/>
    <w:rsid w:val="002718F5"/>
    <w:rsid w:val="00276E40"/>
    <w:rsid w:val="002B3E1D"/>
    <w:rsid w:val="002D5160"/>
    <w:rsid w:val="002D5BB7"/>
    <w:rsid w:val="003104F8"/>
    <w:rsid w:val="0032295D"/>
    <w:rsid w:val="00333042"/>
    <w:rsid w:val="0034041A"/>
    <w:rsid w:val="003561DA"/>
    <w:rsid w:val="00361267"/>
    <w:rsid w:val="00363939"/>
    <w:rsid w:val="00393C69"/>
    <w:rsid w:val="004114FA"/>
    <w:rsid w:val="00451F33"/>
    <w:rsid w:val="00452854"/>
    <w:rsid w:val="004555F8"/>
    <w:rsid w:val="004700FD"/>
    <w:rsid w:val="00485BFE"/>
    <w:rsid w:val="004E149A"/>
    <w:rsid w:val="00503279"/>
    <w:rsid w:val="0052317D"/>
    <w:rsid w:val="0052493E"/>
    <w:rsid w:val="00533863"/>
    <w:rsid w:val="00543AB3"/>
    <w:rsid w:val="00556F27"/>
    <w:rsid w:val="00596841"/>
    <w:rsid w:val="005A7853"/>
    <w:rsid w:val="005C6287"/>
    <w:rsid w:val="005F115C"/>
    <w:rsid w:val="0068123E"/>
    <w:rsid w:val="0068578C"/>
    <w:rsid w:val="006A3FAF"/>
    <w:rsid w:val="006E4536"/>
    <w:rsid w:val="006E7100"/>
    <w:rsid w:val="0070310A"/>
    <w:rsid w:val="007036D4"/>
    <w:rsid w:val="0072083D"/>
    <w:rsid w:val="00725020"/>
    <w:rsid w:val="00725969"/>
    <w:rsid w:val="00725C63"/>
    <w:rsid w:val="007270FF"/>
    <w:rsid w:val="007537CB"/>
    <w:rsid w:val="007A013B"/>
    <w:rsid w:val="007C381A"/>
    <w:rsid w:val="00825022"/>
    <w:rsid w:val="00855137"/>
    <w:rsid w:val="0088213F"/>
    <w:rsid w:val="008B29B0"/>
    <w:rsid w:val="008B63EB"/>
    <w:rsid w:val="008C6634"/>
    <w:rsid w:val="00951043"/>
    <w:rsid w:val="009F32A6"/>
    <w:rsid w:val="00A12707"/>
    <w:rsid w:val="00A43A5C"/>
    <w:rsid w:val="00A469B2"/>
    <w:rsid w:val="00A531C9"/>
    <w:rsid w:val="00AA7818"/>
    <w:rsid w:val="00B4660F"/>
    <w:rsid w:val="00B94343"/>
    <w:rsid w:val="00BA1740"/>
    <w:rsid w:val="00BB278D"/>
    <w:rsid w:val="00C21FF0"/>
    <w:rsid w:val="00C34323"/>
    <w:rsid w:val="00C95200"/>
    <w:rsid w:val="00CA2C85"/>
    <w:rsid w:val="00CA3E94"/>
    <w:rsid w:val="00CC2445"/>
    <w:rsid w:val="00CF1507"/>
    <w:rsid w:val="00CF241B"/>
    <w:rsid w:val="00D037F7"/>
    <w:rsid w:val="00D0674E"/>
    <w:rsid w:val="00D20856"/>
    <w:rsid w:val="00D24735"/>
    <w:rsid w:val="00DB06CF"/>
    <w:rsid w:val="00E30B8F"/>
    <w:rsid w:val="00EC7328"/>
    <w:rsid w:val="00F07C3E"/>
    <w:rsid w:val="00F153AB"/>
    <w:rsid w:val="00F504ED"/>
    <w:rsid w:val="00F712C4"/>
    <w:rsid w:val="00FB3CD3"/>
    <w:rsid w:val="00FD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BB4DBC"/>
  <w15:docId w15:val="{49D4A472-1FBB-43B4-A163-4697107AB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4B39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3D79A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825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25D1"/>
  </w:style>
  <w:style w:type="paragraph" w:styleId="Piedepgina">
    <w:name w:val="footer"/>
    <w:basedOn w:val="Normal"/>
    <w:link w:val="PiedepginaCar"/>
    <w:uiPriority w:val="99"/>
    <w:unhideWhenUsed/>
    <w:rsid w:val="003825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25D1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Descripcin">
    <w:name w:val="caption"/>
    <w:basedOn w:val="Normal"/>
    <w:next w:val="Normal"/>
    <w:uiPriority w:val="35"/>
    <w:unhideWhenUsed/>
    <w:qFormat/>
    <w:rsid w:val="007C381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7537CB"/>
    <w:pPr>
      <w:spacing w:after="0" w:line="240" w:lineRule="auto"/>
    </w:pPr>
    <w:rPr>
      <w:rFonts w:asciiTheme="minorHAnsi" w:eastAsiaTheme="minorHAnsi" w:hAnsiTheme="minorHAnsi" w:cstheme="minorBid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E4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453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72596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25969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66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6634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0C3E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809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721198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7671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35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68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9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17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90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934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949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707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563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666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1085682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263066">
                                      <w:marLeft w:val="21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700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0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8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0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8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6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2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6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53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7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3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0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02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1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73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30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3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3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1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1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89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766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2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8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3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2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81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46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77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41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6119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7334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9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0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1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J1iWYo6ODhmmCSAYtxSv0R6lHQ==">CgMxLjAaJwoBMBIiCiAIBCocCgtBQUFCZF9zNXpPbxAIGgtBQUFCZF9zNXpPbyKqAwoLQUFBQmRfczV6T28S+gIKC0FBQUJkX3M1ek9vEgtBQUFCZF9zNXpPbxpNCgl0ZXh0L2h0bWwSQEhhYnLDrWEgcXVlIGNhbWJpYXIgZWwgZW5jYWJlemFkbyBjb2xvY2FuZG8gZWwgbG9nbyBkZSBlc3RlIGHDsW8iTgoKdGV4dC9wbGFpbhJASGFicsOtYSBxdWUgY2FtYmlhciBlbCBlbmNhYmV6YWRvIGNvbG9jYW5kbyBlbCBsb2dvIGRlIGVzdGUgYcOxbyobIhUxMDY0ODg1MTU1MTU5OTExNjc5OTUoADgAMPbWmM3PMjj21pjNzzJKMgoKdGV4dC9wbGFpbhIkVVBMT0FESU5HIE1BVENPTVDCtDI1IEFSVElDTEVTIFVTSU5HWgxsNGIxOXB4NHJ5N2RyAiAAeACaAQYIABAAGACqAUISQEhhYnLDrWEgcXVlIGNhbWJpYXIgZWwgZW5jYWJlemFkbyBjb2xvY2FuZG8gZWwgbG9nbyBkZSBlc3RlIGHDsW8Y9taYzc8yIPbWmM3PMkIQa2l4LmFiMGx5aGJyODBncCKCAgoLQUFBQmRfczV6T3MSzgEKC0FBQUJkX3M1ek9zEgtBQUFCZF9zNXpPcxoNCgl0ZXh0L2h0bWwSACIOCgp0ZXh0L3BsYWluEgAqGyIVMTA2NDg4NTE1NTE1OTkxMTY3OTk1KAA4ADDO7ZnNzzI4oPGZzc8ySjQKJGFwcGxpY2F0aW9uL3ZuZC5nb29nbGUtYXBwcy5kb2NzLm1kcxoMwtfa5AEGIgQIIxABWgxuY25waXBwb3ppbXNyAiAAeACCARRzdWdnZXN0LjFmcnJ4NmQ5dTF6cJoBBggAEAAYABjO7ZnNzzIgoPGZzc8yQhRzdWdnZXN0LjFmcnJ4NmQ5dTF6cDIIaC5namRneHM4AGpXChRzdWdnZXN0LjFmcnJ4NmQ5dTF6cBI/UmV2aXN0YSBkZSBBRU1BQyBBc29jaWFjacOzbiBFc3Bhw7FvbGEgZGUgTWF0ZXJpYWxlcyBDb21wdWVzdG9zciExTUJCdTk3aWxxOThmWWxDNmJja3NBSHFyQjN3Nl9TTX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6C44380-BBE4-4E2E-9A8F-F6445E57C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2445</Words>
  <Characters>13749</Characters>
  <Application>Microsoft Office Word</Application>
  <DocSecurity>0</DocSecurity>
  <Lines>114</Lines>
  <Paragraphs>32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Sanchez</dc:creator>
  <cp:keywords/>
  <dc:description/>
  <cp:lastModifiedBy>Marianella Hernandez</cp:lastModifiedBy>
  <cp:revision>7</cp:revision>
  <cp:lastPrinted>2025-03-26T13:23:00Z</cp:lastPrinted>
  <dcterms:created xsi:type="dcterms:W3CDTF">2025-03-31T12:09:00Z</dcterms:created>
  <dcterms:modified xsi:type="dcterms:W3CDTF">2025-03-31T13:27:00Z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9888a4506b10236db59c1804722511d88a61adb661ab15227356e43bbb296446</vt:lpwstr>
  </property>
</Properties>
</file>