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D4C1C" w14:textId="29244F8C" w:rsidR="00DF6FA1" w:rsidRDefault="00460314" w:rsidP="00A87C60">
      <w:pPr>
        <w:pStyle w:val="Ttulo"/>
        <w:rPr>
          <w:lang w:val="es-ES"/>
        </w:rPr>
      </w:pPr>
      <w:r>
        <w:rPr>
          <w:lang w:val="es-ES"/>
        </w:rPr>
        <w:t>Solvólisis en condiciones moderadas de composites reforzados con fibra de carbono</w:t>
      </w:r>
    </w:p>
    <w:p w14:paraId="6D7D9A26" w14:textId="76D2F940" w:rsidR="00DA08EB" w:rsidRDefault="00460314" w:rsidP="00A87C60">
      <w:pPr>
        <w:jc w:val="center"/>
        <w:rPr>
          <w:lang w:val="es-ES"/>
        </w:rPr>
      </w:pPr>
      <w:r>
        <w:rPr>
          <w:lang w:val="es-ES"/>
        </w:rPr>
        <w:t>L</w:t>
      </w:r>
      <w:r w:rsidR="00BF7AB2">
        <w:rPr>
          <w:lang w:val="es-ES"/>
        </w:rPr>
        <w:t>aura</w:t>
      </w:r>
      <w:r>
        <w:rPr>
          <w:lang w:val="es-ES"/>
        </w:rPr>
        <w:t xml:space="preserve"> </w:t>
      </w:r>
      <w:r w:rsidRPr="00460314">
        <w:rPr>
          <w:lang w:val="es-ES"/>
        </w:rPr>
        <w:t>Fulgencio, A</w:t>
      </w:r>
      <w:r w:rsidR="00BF7AB2">
        <w:rPr>
          <w:lang w:val="es-ES"/>
        </w:rPr>
        <w:t>sier</w:t>
      </w:r>
      <w:r w:rsidRPr="00460314">
        <w:rPr>
          <w:lang w:val="es-ES"/>
        </w:rPr>
        <w:t xml:space="preserve"> Asueta, S</w:t>
      </w:r>
      <w:r w:rsidR="00BF7AB2">
        <w:rPr>
          <w:lang w:val="es-ES"/>
        </w:rPr>
        <w:t>ixto</w:t>
      </w:r>
      <w:r w:rsidRPr="00460314">
        <w:rPr>
          <w:lang w:val="es-ES"/>
        </w:rPr>
        <w:t xml:space="preserve"> Arnaiz, J</w:t>
      </w:r>
      <w:r w:rsidR="00BF7AB2">
        <w:rPr>
          <w:lang w:val="es-ES"/>
        </w:rPr>
        <w:t>on</w:t>
      </w:r>
      <w:r w:rsidRPr="00460314">
        <w:rPr>
          <w:lang w:val="es-ES"/>
        </w:rPr>
        <w:t xml:space="preserve"> Leivar, I</w:t>
      </w:r>
      <w:r w:rsidR="00BF7AB2">
        <w:rPr>
          <w:lang w:val="es-ES"/>
        </w:rPr>
        <w:t>zotz</w:t>
      </w:r>
      <w:r w:rsidRPr="00460314">
        <w:rPr>
          <w:lang w:val="es-ES"/>
        </w:rPr>
        <w:t xml:space="preserve"> Amundarain, R</w:t>
      </w:r>
      <w:r w:rsidR="00BF7AB2">
        <w:rPr>
          <w:lang w:val="es-ES"/>
        </w:rPr>
        <w:t>afael</w:t>
      </w:r>
      <w:r w:rsidRPr="00460314">
        <w:rPr>
          <w:lang w:val="es-ES"/>
        </w:rPr>
        <w:t xml:space="preserve"> Miguel, A</w:t>
      </w:r>
      <w:r w:rsidR="00BF7AB2">
        <w:rPr>
          <w:lang w:val="es-ES"/>
        </w:rPr>
        <w:t>na</w:t>
      </w:r>
      <w:r w:rsidRPr="00460314">
        <w:rPr>
          <w:lang w:val="es-ES"/>
        </w:rPr>
        <w:t xml:space="preserve"> Iruskieta</w:t>
      </w:r>
    </w:p>
    <w:p w14:paraId="41AFFB25" w14:textId="77777777" w:rsidR="0004660C" w:rsidRDefault="0004660C" w:rsidP="00460314">
      <w:pPr>
        <w:rPr>
          <w:b/>
          <w:lang w:val="es-ES"/>
        </w:rPr>
      </w:pPr>
    </w:p>
    <w:p w14:paraId="6E003194" w14:textId="6B87540A" w:rsidR="00460314" w:rsidRPr="00460314" w:rsidRDefault="00DF6FA1" w:rsidP="00460314">
      <w:pPr>
        <w:rPr>
          <w:lang w:val="es-ES"/>
        </w:rPr>
      </w:pPr>
      <w:r w:rsidRPr="00A87C60">
        <w:rPr>
          <w:b/>
          <w:lang w:val="es-ES"/>
        </w:rPr>
        <w:t>RESUMEN:</w:t>
      </w:r>
      <w:r>
        <w:rPr>
          <w:lang w:val="es-ES"/>
        </w:rPr>
        <w:t xml:space="preserve"> </w:t>
      </w:r>
      <w:r w:rsidR="00460314" w:rsidRPr="00460314">
        <w:rPr>
          <w:lang w:val="es-ES"/>
        </w:rPr>
        <w:t>Los composites reforzados con fibra de carbono (CFRP) son clave en diferentes sectores industriales al combinar ligereza y robustez. Esa circunstancia y la creciente necesidad de aprovechar los recursos de cualquier producto, ha activado una fuerte demanda para establecer soluciones tecnológicas sostenibles, que permitan aprovechar de forma efectiva los materiales de los composites: las resinas (matriz) y las fibras (refuerzo).</w:t>
      </w:r>
    </w:p>
    <w:p w14:paraId="412E8B83" w14:textId="0BA262D7" w:rsidR="00460314" w:rsidRPr="00460314" w:rsidRDefault="00460314" w:rsidP="00460314">
      <w:pPr>
        <w:rPr>
          <w:lang w:val="es-ES"/>
        </w:rPr>
      </w:pPr>
      <w:r w:rsidRPr="00460314">
        <w:rPr>
          <w:lang w:val="es-ES"/>
        </w:rPr>
        <w:t>Limitados a ser reciclados mecánicamente, las alternativas de reciclaje para los CFRP con resinas termoestables se han enfocado a tratamientos termoquímicos, generalmente pirólisis para recuperar las fibras, degradando la matriz. Además de vías térmicas, también se han estudiado tratamientos con disolventes en condiciones supercríticas. Sin embargo, estos procesos excluyen la recuperación de la resina y suponen una pérdida parcial de propiedades mecánicas de las fibras debido al tratamiento térmico (450-550 °C).</w:t>
      </w:r>
    </w:p>
    <w:p w14:paraId="4E54A0C1" w14:textId="3327355D" w:rsidR="00DF6FA1" w:rsidRDefault="00460314" w:rsidP="00460314">
      <w:pPr>
        <w:rPr>
          <w:lang w:val="es-ES"/>
        </w:rPr>
      </w:pPr>
      <w:r w:rsidRPr="00460314">
        <w:rPr>
          <w:lang w:val="es-ES"/>
        </w:rPr>
        <w:t xml:space="preserve">Como alternativa, se propone una solvólisis empleando condiciones moderadas para tratar los CFRP con resinas epoxi endurecidas con amina, de modo que se recuperen las fibras con todas sus propiedades y se valorice materialmente la matriz orgánica. Este proceso se aplica a materiales de referencia de composición conocida, y se valida con residuos reales obteniendo buenos resultados en términos de grado de descomposición de la resina. Las fibras recuperadas presentan una superficie </w:t>
      </w:r>
      <w:r w:rsidR="00362B87">
        <w:rPr>
          <w:lang w:val="es-ES"/>
        </w:rPr>
        <w:t xml:space="preserve">prácticamente </w:t>
      </w:r>
      <w:r w:rsidRPr="00460314">
        <w:rPr>
          <w:lang w:val="es-ES"/>
        </w:rPr>
        <w:t xml:space="preserve">libre de </w:t>
      </w:r>
      <w:r w:rsidRPr="00362B87">
        <w:rPr>
          <w:lang w:val="es-ES"/>
        </w:rPr>
        <w:t xml:space="preserve">resina y </w:t>
      </w:r>
      <w:r w:rsidR="00362B87" w:rsidRPr="00362B87">
        <w:rPr>
          <w:lang w:val="es-ES"/>
        </w:rPr>
        <w:t xml:space="preserve">aparentan tener </w:t>
      </w:r>
      <w:r w:rsidRPr="00362B87">
        <w:rPr>
          <w:lang w:val="es-ES"/>
        </w:rPr>
        <w:t xml:space="preserve">propiedades mecánicas comparables a las de fibras vírgenes. </w:t>
      </w:r>
    </w:p>
    <w:p w14:paraId="1507765E" w14:textId="77777777" w:rsidR="00460314" w:rsidRDefault="00DF6FA1" w:rsidP="00460314">
      <w:r w:rsidRPr="0004660C">
        <w:rPr>
          <w:b/>
        </w:rPr>
        <w:t>ABSTRACT:</w:t>
      </w:r>
      <w:r w:rsidRPr="0004660C">
        <w:t xml:space="preserve"> </w:t>
      </w:r>
      <w:r w:rsidR="00460314" w:rsidRPr="0004660C">
        <w:t xml:space="preserve">Carbon fibre reinforced composites (CFRP) are key in different industrial sectors as they combine lightness and robustness. </w:t>
      </w:r>
      <w:r w:rsidR="00460314">
        <w:t>This circumstance and the growing need to take advantage of the resources of any product, has triggered a strong demand to establish sustainable technological solutions that allow the effective use of composite materials: resins (matrix) and fibres (reinforcement).</w:t>
      </w:r>
    </w:p>
    <w:p w14:paraId="7B8D23DB" w14:textId="77777777" w:rsidR="00460314" w:rsidRDefault="00460314" w:rsidP="00460314">
      <w:r>
        <w:t>Limited to mechanical recycling, recycling alternatives for CFRP with thermosetting resins have focused on thermochemical treatments, usually pyrolysis to recover the fibres, degrading the matrix. In addition to thermal routes, solvent treatments under supercritical conditions have also been studied. However, these processes exclude resin recovery and involve a partial loss of mechanical properties of the fibres due to the heat treatment (450-550 °C).</w:t>
      </w:r>
    </w:p>
    <w:p w14:paraId="2F2F64E6" w14:textId="6590FE8A" w:rsidR="0004660C" w:rsidRDefault="00460314">
      <w:r>
        <w:t>As an alternative, a solvolysis using mild conditions is proposed to treat CFRPs with amine-hardened epoxy resins, so that the fibres are recovered with all their properties and the organic matrix is materially valorised. This process is applied to reference materials of known composition and validated with real residues with good results in terms of degree of resin decomposition</w:t>
      </w:r>
      <w:r w:rsidRPr="00362B87">
        <w:t>. The recovered fibres show a</w:t>
      </w:r>
      <w:r w:rsidR="00362B87" w:rsidRPr="00362B87">
        <w:t>lmost</w:t>
      </w:r>
      <w:r w:rsidRPr="00362B87">
        <w:t xml:space="preserve"> resin-free surface and </w:t>
      </w:r>
      <w:r w:rsidR="00362B87" w:rsidRPr="00362B87">
        <w:t xml:space="preserve">seem to have </w:t>
      </w:r>
      <w:r w:rsidRPr="00362B87">
        <w:t>mechanical properties comparable to those of virgin fibres.</w:t>
      </w:r>
    </w:p>
    <w:p w14:paraId="03CD403F" w14:textId="483E9775" w:rsidR="00AC2447" w:rsidRDefault="003E4EA4">
      <w:r>
        <w:t xml:space="preserve">                    </w:t>
      </w:r>
      <w:r w:rsidR="00AC2447" w:rsidRPr="00460314">
        <w:rPr>
          <w:b/>
        </w:rPr>
        <w:t xml:space="preserve">Keywords: </w:t>
      </w:r>
      <w:r w:rsidR="00460314" w:rsidRPr="00460314">
        <w:t xml:space="preserve">Solvólisis, CFRP, </w:t>
      </w:r>
      <w:proofErr w:type="spellStart"/>
      <w:r w:rsidR="00460314" w:rsidRPr="00460314">
        <w:t>epoxi</w:t>
      </w:r>
      <w:proofErr w:type="spellEnd"/>
      <w:r w:rsidR="00460314" w:rsidRPr="00460314">
        <w:t xml:space="preserve">, </w:t>
      </w:r>
      <w:proofErr w:type="spellStart"/>
      <w:r w:rsidR="00460314" w:rsidRPr="00460314">
        <w:t>amina</w:t>
      </w:r>
      <w:proofErr w:type="spellEnd"/>
      <w:r w:rsidR="00460314" w:rsidRPr="00460314">
        <w:t xml:space="preserve">, </w:t>
      </w:r>
      <w:proofErr w:type="spellStart"/>
      <w:r w:rsidR="00460314" w:rsidRPr="00460314">
        <w:t>fibras</w:t>
      </w:r>
      <w:proofErr w:type="spellEnd"/>
    </w:p>
    <w:p w14:paraId="3E8B0C51" w14:textId="7764622E" w:rsidR="00061904" w:rsidRDefault="00061904">
      <w:pPr>
        <w:spacing w:before="0" w:after="160" w:line="259" w:lineRule="auto"/>
        <w:jc w:val="left"/>
      </w:pPr>
      <w:r>
        <w:br w:type="page"/>
      </w:r>
    </w:p>
    <w:p w14:paraId="74265B4B" w14:textId="77777777" w:rsidR="00A87C60" w:rsidRDefault="00A87C60" w:rsidP="00860298">
      <w:pPr>
        <w:pStyle w:val="Ttulo1"/>
      </w:pPr>
      <w:r>
        <w:lastRenderedPageBreak/>
        <w:t>I</w:t>
      </w:r>
      <w:r w:rsidR="00C65007">
        <w:t>ntroducción</w:t>
      </w:r>
    </w:p>
    <w:p w14:paraId="1526A29E" w14:textId="71782AD6" w:rsidR="00F93690" w:rsidRDefault="00F93690" w:rsidP="00EF31A1">
      <w:pPr>
        <w:widowControl w:val="0"/>
        <w:autoSpaceDE w:val="0"/>
        <w:autoSpaceDN w:val="0"/>
        <w:adjustRightInd w:val="0"/>
        <w:spacing w:line="240" w:lineRule="auto"/>
        <w:rPr>
          <w:lang w:val="es-ES"/>
        </w:rPr>
      </w:pPr>
      <w:r w:rsidRPr="00F93690">
        <w:rPr>
          <w:lang w:val="es-ES"/>
        </w:rPr>
        <w:t>Los polímeros reforzados con fibra de carbono (CFRP) son materiales compuestos de carbono (FC) dentro de una matriz polimérica termoestable. Estos materiales presentan muy buenas propiedades mecánicas, eléctricas, térmicas y químicas</w:t>
      </w:r>
      <w:r w:rsidR="002A64C5">
        <w:rPr>
          <w:lang w:val="es-ES"/>
        </w:rPr>
        <w:t xml:space="preserve"> </w:t>
      </w:r>
      <w:r w:rsidRPr="00F93690">
        <w:rPr>
          <w:lang w:val="es-ES"/>
        </w:rPr>
        <w:t>y al mismo tiempo muy baja densidad. En consecuencia</w:t>
      </w:r>
      <w:r w:rsidR="000B4985">
        <w:rPr>
          <w:lang w:val="es-ES"/>
        </w:rPr>
        <w:t>,</w:t>
      </w:r>
      <w:r w:rsidRPr="00F93690">
        <w:rPr>
          <w:lang w:val="es-ES"/>
        </w:rPr>
        <w:t xml:space="preserve"> hoy en día se utilizan ampliamente en la fabricación de piezas en las industrias aeroespacial, automovilística y eólica, y se espera que su demanda crezca significativamente en los próximos años </w:t>
      </w:r>
      <w:r w:rsidR="00EF31A1">
        <w:rPr>
          <w:lang w:val="es-ES"/>
        </w:rPr>
        <w:fldChar w:fldCharType="begin" w:fldLock="1"/>
      </w:r>
      <w:r w:rsidR="00EF31A1">
        <w:rPr>
          <w:lang w:val="es-ES"/>
        </w:rPr>
        <w:instrText>ADDIN CSL_CITATION {"citationItems":[{"id":"ITEM-1","itemData":{"DOI":"10.1016/j.rser.2018.08.041","ISSN":"18790690","abstract":"The wind power industry is a fast growing, global consumer of glass fiber-reinforced plastics (GFRP) composites, which correlates with the industry's rapid growth in recent years. Considering current and future developments, GFRP waste amounts from the wind industry are expected to increase. Therefore, a sustainable process is needed for dealing with wind turbines at the end of their service life in order to maximize the environmental benefits of wind power. Most components of a wind turbine such as the foundation, tower, gear box and generator are already recyclable and treated accordingly. Nevertheless, wind turbine blades represent a challenge due to the type of materials used and their complex composition. There are a number of ways to treat GFRP waste, depending on the intended application. The best available waste treatment technologies in Europe are outlined in this paper. However, there is a lack of practical experiences in applying secondary materials in new products. A Danish innovation consortium was addressing this waste with a predominant focus on the blades from the wind power industry. The outcomes from the consortium and the various tested tools are presented in this paper as well as the secondary applications that were proposed. The outcomes are structured using Ellen MacArthur's circular economy diagram. The “adjusted” diagram illustrates the potentials for a continuous flow of composite materials through the value circle, where secondary applications were developed in respect to “reuse” “resize and reshape” “recycle” “recover” and ‘conversion’. This included applications for architectural purposes, consumer goods, and industrial filler material. By presenting the outcomes of the consortium, new insights are provided into potential forms of reuse of composites and the practical challenges that need to be addressed.","author":[{"dropping-particle":"","family":"Jensen","given":"J. P.","non-dropping-particle":"","parse-names":false,"suffix":""},{"dropping-particle":"","family":"Skelton","given":"K.","non-dropping-particle":"","parse-names":false,"suffix":""}],"container-title":"Renewable and Sustainable Energy Reviews","id":"ITEM-1","issue":"July","issued":{"date-parts":[["2018"]]},"page":"165-176","publisher":"Elsevier Ltd","title":"Wind turbine blade recycling: Experiences, challenges and possibilities in a circular economy","type":"article-journal","volume":"97"},"uris":["http://www.mendeley.com/documents/?uuid=ba23c8ce-e025-42f0-8f49-a828ba57bd99"]},{"id":"ITEM-2","itemData":{"DOI":"10.1016/j.resconrec.2017.06.023","ISSN":"18790658","abstract":"Carbon Fiber Reinforced Polymers (CFRP) are increasingly used in commercial aircraft. Thus, the amount of in-use stocks of CFRP and related waste flows generated by the aeronautical sector will grow quickly through waste generation of end-of-life aircraft. This publication will provide a prospective assessment of the amounts and their localization of the worldwide in-use stocks of CFRP and related water flows until 2050. It has been found that by 2050 nearly half a million tons of CFRP waste will be generated in total, most of the waste will be located in North America and in Europe with about 162,000 t and 145,000 t respectively. In fact, this will allow to anticipate the efforts needed to properly recycle those future CFRP waste flows. Thus, this study provides a useful guide on the establishment of a CFRP waste management program, including timeframes and specific recommendations for high priority locations, and finishes with a discussion on the most promising recycling techniques of CFRP waste.","author":[{"dropping-particle":"","family":"Lefeuvre","given":"Anaële","non-dropping-particle":"","parse-names":false,"suffix":""},{"dropping-particle":"","family":"Garnier","given":"Sébastien","non-dropping-particle":"","parse-names":false,"suffix":""},{"dropping-particle":"","family":"Jacquemin","given":"Leslie","non-dropping-particle":"","parse-names":false,"suffix":""},{"dropping-particle":"","family":"Pillain","given":"Baptiste","non-dropping-particle":"","parse-names":false,"suffix":""},{"dropping-particle":"","family":"Sonnemann","given":"Guido","non-dropping-particle":"","parse-names":false,"suffix":""}],"container-title":"Resources, Conservation and Recycling","id":"ITEM-2","issue":"April","issued":{"date-parts":[["2017"]]},"page":"264-272","publisher":"Elsevier","title":"Anticipating in-use stocks of carbon fiber reinforced polymers and related waste flows generated by the commercial aeronautical sector until 2050","type":"article-journal","volume":"125"},"uris":["http://www.mendeley.com/documents/?uuid=997215c3-b453-4cc0-93c9-353fec8a987e"]}],"mendeley":{"formattedCitation":"[1,2]","plainTextFormattedCitation":"[1,2]","previouslyFormattedCitation":"[1,2]"},"properties":{"noteIndex":0},"schema":"https://github.com/citation-style-language/schema/raw/master/csl-citation.json"}</w:instrText>
      </w:r>
      <w:r w:rsidR="00EF31A1">
        <w:rPr>
          <w:lang w:val="es-ES"/>
        </w:rPr>
        <w:fldChar w:fldCharType="separate"/>
      </w:r>
      <w:r w:rsidR="00EF31A1" w:rsidRPr="00EF31A1">
        <w:rPr>
          <w:noProof/>
          <w:lang w:val="es-ES"/>
        </w:rPr>
        <w:t>[1,2]</w:t>
      </w:r>
      <w:r w:rsidR="00EF31A1">
        <w:rPr>
          <w:lang w:val="es-ES"/>
        </w:rPr>
        <w:fldChar w:fldCharType="end"/>
      </w:r>
      <w:r w:rsidR="00EF31A1">
        <w:rPr>
          <w:lang w:val="es-ES"/>
        </w:rPr>
        <w:t>.</w:t>
      </w:r>
    </w:p>
    <w:p w14:paraId="026316B0" w14:textId="77777777" w:rsidR="002F220C" w:rsidRDefault="002F220C" w:rsidP="00F93690">
      <w:pPr>
        <w:rPr>
          <w:lang w:val="es-ES"/>
        </w:rPr>
      </w:pPr>
      <w:r>
        <w:rPr>
          <w:lang w:val="es-ES"/>
        </w:rPr>
        <w:t>Existen diferentes</w:t>
      </w:r>
      <w:r w:rsidRPr="002F220C">
        <w:rPr>
          <w:lang w:val="es-ES"/>
        </w:rPr>
        <w:t xml:space="preserve"> métodos de recicla</w:t>
      </w:r>
      <w:r>
        <w:rPr>
          <w:lang w:val="es-ES"/>
        </w:rPr>
        <w:t>do</w:t>
      </w:r>
      <w:r w:rsidRPr="002F220C">
        <w:rPr>
          <w:lang w:val="es-ES"/>
        </w:rPr>
        <w:t xml:space="preserve"> para el CFRP </w:t>
      </w:r>
      <w:r>
        <w:rPr>
          <w:lang w:val="es-ES"/>
        </w:rPr>
        <w:t>entre los que se incluyen</w:t>
      </w:r>
      <w:r w:rsidRPr="002F220C">
        <w:rPr>
          <w:lang w:val="es-ES"/>
        </w:rPr>
        <w:t xml:space="preserve"> procesos mecánicos, térmicos y químicos. A diferencia de los métodos mecánicos, los procesos térmicos y químicos permiten la recuperación de fibras largas y continuas, lo que aumenta su potencial de reutilización. </w:t>
      </w:r>
    </w:p>
    <w:p w14:paraId="1E2B4857" w14:textId="3C0D1500" w:rsidR="006D04A2" w:rsidRDefault="00BA55BF" w:rsidP="00F93690">
      <w:pPr>
        <w:rPr>
          <w:lang w:val="es-ES"/>
        </w:rPr>
      </w:pPr>
      <w:r>
        <w:rPr>
          <w:lang w:val="es-ES"/>
        </w:rPr>
        <w:t>A</w:t>
      </w:r>
      <w:r w:rsidR="002F220C" w:rsidRPr="002F220C">
        <w:rPr>
          <w:lang w:val="es-ES"/>
        </w:rPr>
        <w:t>ctualmente, los composites de fibra de carbono se reciclan principalmente mediante pirólisis para recuperar la fibra. La pirólisis expone el composite a altas temperaturas (&gt;400ºC) en ausencia de oxígeno. Las fibras conservan una resistencia aceptable para su reutilización, pero requieren un procesamiento posterior para eliminar los residuos de matriz carbonizada</w:t>
      </w:r>
      <w:r w:rsidR="0047139C">
        <w:rPr>
          <w:lang w:val="es-ES"/>
        </w:rPr>
        <w:t xml:space="preserve"> </w:t>
      </w:r>
      <w:r w:rsidR="0047139C">
        <w:rPr>
          <w:lang w:val="es-ES"/>
        </w:rPr>
        <w:fldChar w:fldCharType="begin" w:fldLock="1"/>
      </w:r>
      <w:r w:rsidR="00600EC7">
        <w:rPr>
          <w:lang w:val="es-ES"/>
        </w:rPr>
        <w:instrText>ADDIN CSL_CITATION {"citationItems":[{"id":"ITEM-1","itemData":{"DOI":"10.1016/j.repl.2017.11.012","ISSN":"00343617","abstract":"Wider use of carbon fiber in the composites industry is now a possibility through the introduction of recycled materials. Reinforced Plastics reports on the development of recycled carbon fibers by ELG Carbon Fibre and how some key industrial partners are using them.","author":[{"dropping-particle":"","family":"Holmes","given":"Mark","non-dropping-particle":"","parse-names":false,"suffix":""}],"container-title":"Reinforced Plastics","id":"ITEM-1","issue":"3","issued":{"date-parts":[["2018"]]},"page":"148-153","publisher":"Elsevier Ltd","title":"Recycled carbon fiber composites become a reality","type":"article-journal","volume":"62"},"uris":["http://www.mendeley.com/documents/?uuid=4e6c2f14-f62e-4b62-9bc4-f7d2823f69d5"]}],"mendeley":{"formattedCitation":"[3]","plainTextFormattedCitation":"[3]","previouslyFormattedCitation":"[3]"},"properties":{"noteIndex":0},"schema":"https://github.com/citation-style-language/schema/raw/master/csl-citation.json"}</w:instrText>
      </w:r>
      <w:r w:rsidR="0047139C">
        <w:rPr>
          <w:lang w:val="es-ES"/>
        </w:rPr>
        <w:fldChar w:fldCharType="separate"/>
      </w:r>
      <w:r w:rsidR="0047139C" w:rsidRPr="0047139C">
        <w:rPr>
          <w:noProof/>
          <w:lang w:val="es-ES"/>
        </w:rPr>
        <w:t>[3]</w:t>
      </w:r>
      <w:r w:rsidR="0047139C">
        <w:rPr>
          <w:lang w:val="es-ES"/>
        </w:rPr>
        <w:fldChar w:fldCharType="end"/>
      </w:r>
      <w:r w:rsidR="002F220C" w:rsidRPr="002F220C">
        <w:rPr>
          <w:lang w:val="es-ES"/>
        </w:rPr>
        <w:t xml:space="preserve">. El proceso aún tiene una capacidad limitada y los gases y aceites resultantes de la descomposición del polímero (aproximadamente el 50% en peso del material) se queman en la práctica. </w:t>
      </w:r>
    </w:p>
    <w:p w14:paraId="368183A1" w14:textId="0AD6BA2F" w:rsidR="0004660C" w:rsidRDefault="002F220C" w:rsidP="002F220C">
      <w:pPr>
        <w:rPr>
          <w:lang w:val="es-ES"/>
        </w:rPr>
      </w:pPr>
      <w:r w:rsidRPr="002F220C">
        <w:rPr>
          <w:lang w:val="es-ES"/>
        </w:rPr>
        <w:t>Una alternativa a la pirólisis es el proceso de solvólisis química, donde la matriz se disuelve utilizando un solvente adecuado, generalmente agua, alcoholes, cetonas y mezclas, bajo condiciones sub o supercríticas</w:t>
      </w:r>
      <w:r w:rsidR="0047139C">
        <w:rPr>
          <w:lang w:val="es-ES"/>
        </w:rPr>
        <w:t xml:space="preserve"> </w:t>
      </w:r>
      <w:r w:rsidR="0047139C">
        <w:rPr>
          <w:lang w:val="es-ES"/>
        </w:rPr>
        <w:fldChar w:fldCharType="begin" w:fldLock="1"/>
      </w:r>
      <w:r w:rsidR="00600EC7">
        <w:rPr>
          <w:lang w:val="es-ES"/>
        </w:rPr>
        <w:instrText>ADDIN CSL_CITATION {"citationItems":[{"id":"ITEM-1","itemData":{"DOI":"10.1016/j.supflu.2017.01.013","ISSN":"08968446","abstract":"Degradation of hybrid fiber composites using near-critical water or supercritical acetone has been investigated in this study. Process parameters such as temperature (T = 260–300 °C), pressure (p = 60–300 bar) and composite/solvent (c/s = 0.29–2.1 g/mL) ratio were varied to determine the effect on the resin degradation efficiency and the quality of the recovered glass and carbon fibers. Supercritical acetone at 260 °C, 60 bar and a c/s ratio up to 2.1 g/mL could achieve nearly complete degradation of the resin. The glass fibers were recovered with up to 89% retained tensile strength compared to the virgin glass fibers. The use of near-critical water reduced the tensile strength of the glass fibers by up to 65%, whereas the carbon fibers were recovered with retained tensile strength compared to the virgin carbon fibers using water or acetone.","author":[{"dropping-particle":"","family":"Sokoli","given":"Hülya U.","non-dropping-particle":"","parse-names":false,"suffix":""},{"dropping-particle":"","family":"Beauson","given":"Justine","non-dropping-particle":"","parse-names":false,"suffix":""},{"dropping-particle":"","family":"Simonsen","given":"Morten E.","non-dropping-particle":"","parse-names":false,"suffix":""},{"dropping-particle":"","family":"Fraisse","given":"Anthony","non-dropping-particle":"","parse-names":false,"suffix":""},{"dropping-particle":"","family":"Brøndsted","given":"Povl","non-dropping-particle":"","parse-names":false,"suffix":""},{"dropping-particle":"","family":"Søgaard","given":"Erik G.","non-dropping-particle":"","parse-names":false,"suffix":""}],"container-title":"Journal of Supercritical Fluids","id":"ITEM-1","issued":{"date-parts":[["2017"]]},"page":"80-89","publisher":"Elsevier B.V.","title":"Optimized process for recovery of glass- and carbon fibers with retained mechanical properties by means of near- and supercritical fluids","type":"article-journal","volume":"124"},"uris":["http://www.mendeley.com/documents/?uuid=cf56961b-0ef8-4f54-a948-89781d15702c"]}],"mendeley":{"formattedCitation":"[4]","plainTextFormattedCitation":"[4]","previouslyFormattedCitation":"[4]"},"properties":{"noteIndex":0},"schema":"https://github.com/citation-style-language/schema/raw/master/csl-citation.json"}</w:instrText>
      </w:r>
      <w:r w:rsidR="0047139C">
        <w:rPr>
          <w:lang w:val="es-ES"/>
        </w:rPr>
        <w:fldChar w:fldCharType="separate"/>
      </w:r>
      <w:r w:rsidR="0047139C" w:rsidRPr="0047139C">
        <w:rPr>
          <w:noProof/>
          <w:lang w:val="es-ES"/>
        </w:rPr>
        <w:t>[4]</w:t>
      </w:r>
      <w:r w:rsidR="0047139C">
        <w:rPr>
          <w:lang w:val="es-ES"/>
        </w:rPr>
        <w:fldChar w:fldCharType="end"/>
      </w:r>
      <w:r w:rsidRPr="002F220C">
        <w:rPr>
          <w:lang w:val="es-ES"/>
        </w:rPr>
        <w:t xml:space="preserve">. También se han </w:t>
      </w:r>
      <w:r w:rsidR="0098376A">
        <w:rPr>
          <w:lang w:val="es-ES"/>
        </w:rPr>
        <w:t>emplead</w:t>
      </w:r>
      <w:r w:rsidRPr="002F220C">
        <w:rPr>
          <w:lang w:val="es-ES"/>
        </w:rPr>
        <w:t>o soluciones ácidas fuertes con buenos resultados</w:t>
      </w:r>
      <w:r w:rsidR="0047139C">
        <w:rPr>
          <w:lang w:val="es-ES"/>
        </w:rPr>
        <w:t xml:space="preserve"> </w:t>
      </w:r>
      <w:r w:rsidR="0047139C">
        <w:rPr>
          <w:lang w:val="es-ES"/>
        </w:rPr>
        <w:fldChar w:fldCharType="begin" w:fldLock="1"/>
      </w:r>
      <w:r w:rsidR="00600EC7">
        <w:rPr>
          <w:lang w:val="es-ES"/>
        </w:rPr>
        <w:instrText>ADDIN CSL_CITATION {"citationItems":[{"id":"ITEM-1","itemData":{"DOI":"10.1039/c2gc36294e","ISBN":"8657486685256","ISSN":"14639270","abstract":"An efficient solution has been built for the chemical recycling of carbon fiber/epoxy composites by oxidative degradation under mild conditions with acetone and H2O2. Clean CF can be obtained after reacting at 60°C for 30 min. The decomposition ratio of epoxy is above 90%, and the strength of CF remains more than 95% of its original strength. © 2012 The Royal Society of Chemistry.","author":[{"dropping-particle":"","family":"Li","given":"Juan","non-dropping-particle":"","parse-names":false,"suffix":""},{"dropping-particle":"","family":"Xu","given":"Ping Lai","non-dropping-particle":"","parse-names":false,"suffix":""},{"dropping-particle":"","family":"Zhu","given":"Ying Ke","non-dropping-particle":"","parse-names":false,"suffix":""},{"dropping-particle":"","family":"Ding","given":"Jiang Ping","non-dropping-particle":"","parse-names":false,"suffix":""},{"dropping-particle":"","family":"Xue","given":"Li Xin","non-dropping-particle":"","parse-names":false,"suffix":""},{"dropping-particle":"","family":"Wang","given":"Yu Zhong","non-dropping-particle":"","parse-names":false,"suffix":""}],"container-title":"Green Chemistry","id":"ITEM-1","issue":"12","issued":{"date-parts":[["2012"]]},"page":"3260-3263","title":"A promising strategy for chemical recycling of carbon fiber/thermoset composites: Self-accelerating decomposition in a mild oxidative system","type":"article-journal","volume":"14"},"uris":["http://www.mendeley.com/documents/?uuid=d64a1d7f-f025-4efc-aa53-88751e0a6a27"]}],"mendeley":{"formattedCitation":"[5]","plainTextFormattedCitation":"[5]","previouslyFormattedCitation":"[5]"},"properties":{"noteIndex":0},"schema":"https://github.com/citation-style-language/schema/raw/master/csl-citation.json"}</w:instrText>
      </w:r>
      <w:r w:rsidR="0047139C">
        <w:rPr>
          <w:lang w:val="es-ES"/>
        </w:rPr>
        <w:fldChar w:fldCharType="separate"/>
      </w:r>
      <w:r w:rsidR="0047139C" w:rsidRPr="0047139C">
        <w:rPr>
          <w:noProof/>
          <w:lang w:val="es-ES"/>
        </w:rPr>
        <w:t>[5]</w:t>
      </w:r>
      <w:r w:rsidR="0047139C">
        <w:rPr>
          <w:lang w:val="es-ES"/>
        </w:rPr>
        <w:fldChar w:fldCharType="end"/>
      </w:r>
      <w:r w:rsidRPr="002F220C">
        <w:rPr>
          <w:lang w:val="es-ES"/>
        </w:rPr>
        <w:t>. En comparación con la pirólisis, este proceso proporciona fibras más limpias que requieren menos procesamiento posterior.</w:t>
      </w:r>
      <w:r w:rsidR="006D04A2">
        <w:rPr>
          <w:lang w:val="es-ES"/>
        </w:rPr>
        <w:t xml:space="preserve"> Sin embargo, l</w:t>
      </w:r>
      <w:r w:rsidR="00AF40B9" w:rsidRPr="00AF40B9">
        <w:rPr>
          <w:lang w:val="es-ES"/>
        </w:rPr>
        <w:t xml:space="preserve">a mayoría de los procesos de solvólisis aún se encuentran </w:t>
      </w:r>
      <w:r w:rsidR="0098376A">
        <w:rPr>
          <w:lang w:val="es-ES"/>
        </w:rPr>
        <w:t xml:space="preserve">a escala </w:t>
      </w:r>
      <w:r w:rsidR="00AF40B9" w:rsidRPr="00AF40B9">
        <w:rPr>
          <w:lang w:val="es-ES"/>
        </w:rPr>
        <w:t xml:space="preserve">de laboratorio y no se han </w:t>
      </w:r>
      <w:r w:rsidR="0098376A">
        <w:rPr>
          <w:lang w:val="es-ES"/>
        </w:rPr>
        <w:t>escalado</w:t>
      </w:r>
      <w:r w:rsidR="00AF40B9" w:rsidRPr="00AF40B9">
        <w:rPr>
          <w:lang w:val="es-ES"/>
        </w:rPr>
        <w:t xml:space="preserve">. Solo </w:t>
      </w:r>
      <w:r w:rsidR="00E02B81">
        <w:rPr>
          <w:lang w:val="es-ES"/>
        </w:rPr>
        <w:t>el</w:t>
      </w:r>
      <w:r w:rsidR="00AF40B9" w:rsidRPr="00AF40B9">
        <w:rPr>
          <w:lang w:val="es-ES"/>
        </w:rPr>
        <w:t xml:space="preserve"> método de Hitachi </w:t>
      </w:r>
      <w:proofErr w:type="spellStart"/>
      <w:r w:rsidR="00AF40B9" w:rsidRPr="00AF40B9">
        <w:rPr>
          <w:lang w:val="es-ES"/>
        </w:rPr>
        <w:t>Chemicals</w:t>
      </w:r>
      <w:proofErr w:type="spellEnd"/>
      <w:r w:rsidR="00AF40B9" w:rsidRPr="00AF40B9">
        <w:rPr>
          <w:lang w:val="es-ES"/>
        </w:rPr>
        <w:t xml:space="preserve"> ha alcanzado la etapa piloto</w:t>
      </w:r>
      <w:r w:rsidR="00E02B81">
        <w:rPr>
          <w:lang w:val="es-ES"/>
        </w:rPr>
        <w:t xml:space="preserve"> (12 toneladas/año)</w:t>
      </w:r>
      <w:r w:rsidR="00AF40B9" w:rsidRPr="00AF40B9">
        <w:rPr>
          <w:lang w:val="es-ES"/>
        </w:rPr>
        <w:t>, pero solo es aplicable para la resina epoxi curada con anhídrido específico que se encuentra en las raquetas de tenis</w:t>
      </w:r>
      <w:r w:rsidR="00600EC7">
        <w:rPr>
          <w:lang w:val="es-ES"/>
        </w:rPr>
        <w:t xml:space="preserve"> </w:t>
      </w:r>
      <w:r w:rsidR="00600EC7">
        <w:rPr>
          <w:lang w:val="es-ES"/>
        </w:rPr>
        <w:fldChar w:fldCharType="begin" w:fldLock="1"/>
      </w:r>
      <w:r w:rsidR="00600EC7">
        <w:rPr>
          <w:lang w:val="es-ES"/>
        </w:rPr>
        <w:instrText>ADDIN CSL_CITATION {"citationItems":[{"id":"ITEM-1","itemData":{"author":[{"dropping-particle":"","family":"Ishii","given":"Ken","non-dropping-particle":"","parse-names":false,"suffix":""}],"id":"ITEM-1","issue":"55","issued":{"date-parts":[["2013"]]},"page":"50-53","title":"Hitachi Chemical Technical Report","type":"article-journal"},"uris":["http://www.mendeley.com/documents/?uuid=7f1878c9-4ebd-4aea-9f5b-83a678e850d6"]}],"mendeley":{"formattedCitation":"[6]","plainTextFormattedCitation":"[6]","previouslyFormattedCitation":"[6]"},"properties":{"noteIndex":0},"schema":"https://github.com/citation-style-language/schema/raw/master/csl-citation.json"}</w:instrText>
      </w:r>
      <w:r w:rsidR="00600EC7">
        <w:rPr>
          <w:lang w:val="es-ES"/>
        </w:rPr>
        <w:fldChar w:fldCharType="separate"/>
      </w:r>
      <w:r w:rsidR="00600EC7" w:rsidRPr="00600EC7">
        <w:rPr>
          <w:noProof/>
          <w:lang w:val="es-ES"/>
        </w:rPr>
        <w:t>[6]</w:t>
      </w:r>
      <w:r w:rsidR="00600EC7">
        <w:rPr>
          <w:lang w:val="es-ES"/>
        </w:rPr>
        <w:fldChar w:fldCharType="end"/>
      </w:r>
      <w:r w:rsidR="00AF40B9" w:rsidRPr="00AF40B9">
        <w:rPr>
          <w:lang w:val="es-ES"/>
        </w:rPr>
        <w:t xml:space="preserve">. Otros trabajos recientes han utilizado una combinación de polietilenglicol </w:t>
      </w:r>
      <w:proofErr w:type="spellStart"/>
      <w:r w:rsidR="00AF40B9" w:rsidRPr="00AF40B9">
        <w:rPr>
          <w:lang w:val="es-ES"/>
        </w:rPr>
        <w:t>y</w:t>
      </w:r>
      <w:proofErr w:type="spellEnd"/>
      <w:r w:rsidR="00AF40B9" w:rsidRPr="00AF40B9">
        <w:rPr>
          <w:lang w:val="es-ES"/>
        </w:rPr>
        <w:t xml:space="preserve"> hidróxido de sodio para descomponer esta matriz. </w:t>
      </w:r>
    </w:p>
    <w:p w14:paraId="084D7F73" w14:textId="5EF1CC49" w:rsidR="002F220C" w:rsidRDefault="00AF40B9" w:rsidP="002F220C">
      <w:pPr>
        <w:rPr>
          <w:lang w:val="es-ES"/>
        </w:rPr>
      </w:pPr>
      <w:r w:rsidRPr="00AF40B9">
        <w:rPr>
          <w:lang w:val="es-ES"/>
        </w:rPr>
        <w:t xml:space="preserve">En cuanto al reciclaje de CFRP curado con amina, se han logrado avances mediante la combinación de un solvente de expansión, como ácido acético y peróxido de hidrógeno, lo que ha dado lugar a altas tasas de descomposición del polímero </w:t>
      </w:r>
      <w:r w:rsidR="00E02B81">
        <w:rPr>
          <w:lang w:val="es-ES"/>
        </w:rPr>
        <w:t>(</w:t>
      </w:r>
      <w:r w:rsidR="00600EC7">
        <w:rPr>
          <w:lang w:val="es-ES"/>
        </w:rPr>
        <w:t xml:space="preserve"> </w:t>
      </w:r>
      <w:r w:rsidR="00E02B81">
        <w:rPr>
          <w:lang w:val="es-ES"/>
        </w:rPr>
        <w:t>&gt;</w:t>
      </w:r>
      <w:r w:rsidR="00600EC7">
        <w:rPr>
          <w:lang w:val="es-ES"/>
        </w:rPr>
        <w:t xml:space="preserve"> </w:t>
      </w:r>
      <w:r w:rsidR="00E02B81">
        <w:rPr>
          <w:lang w:val="es-ES"/>
        </w:rPr>
        <w:t>90</w:t>
      </w:r>
      <w:r w:rsidR="00600EC7">
        <w:rPr>
          <w:lang w:val="es-ES"/>
        </w:rPr>
        <w:t xml:space="preserve"> </w:t>
      </w:r>
      <w:r w:rsidR="00E02B81">
        <w:rPr>
          <w:lang w:val="es-ES"/>
        </w:rPr>
        <w:t xml:space="preserve">%) </w:t>
      </w:r>
      <w:r w:rsidRPr="00AF40B9">
        <w:rPr>
          <w:lang w:val="es-ES"/>
        </w:rPr>
        <w:t>mientras las fibras mantienen su resistencia a la tracción entre el 90</w:t>
      </w:r>
      <w:r w:rsidR="00600EC7">
        <w:rPr>
          <w:lang w:val="es-ES"/>
        </w:rPr>
        <w:t xml:space="preserve"> </w:t>
      </w:r>
      <w:r w:rsidRPr="00AF40B9">
        <w:rPr>
          <w:lang w:val="es-ES"/>
        </w:rPr>
        <w:t>% y el 98</w:t>
      </w:r>
      <w:r w:rsidR="00600EC7">
        <w:rPr>
          <w:lang w:val="es-ES"/>
        </w:rPr>
        <w:t xml:space="preserve"> </w:t>
      </w:r>
      <w:r w:rsidRPr="00AF40B9">
        <w:rPr>
          <w:lang w:val="es-ES"/>
        </w:rPr>
        <w:t>%</w:t>
      </w:r>
      <w:r w:rsidR="00600EC7">
        <w:rPr>
          <w:lang w:val="es-ES"/>
        </w:rPr>
        <w:t xml:space="preserve"> </w:t>
      </w:r>
      <w:r w:rsidR="00600EC7">
        <w:rPr>
          <w:lang w:val="es-ES"/>
        </w:rPr>
        <w:fldChar w:fldCharType="begin" w:fldLock="1"/>
      </w:r>
      <w:r w:rsidR="00600EC7">
        <w:rPr>
          <w:lang w:val="es-ES"/>
        </w:rPr>
        <w:instrText>ADDIN CSL_CITATION {"citationItems":[{"id":"ITEM-1","itemData":{"DOI":"10.1021/acssuschemeng.7b01456","ISSN":"21680485","abstract":"We report a one-step oxidative method for the recycling of carbon fiber-reinforced polymer (CFRP) composite waste and the recovery of carbon fiber and the epoxy resin by treatment with peracetic acid (PAA) formed in situ from a mixture of acetic acid and hydrogen peroxide. The surfaces of the recovered carbon fibers were clean, and the tensile strength was comparable to that of the virgin fibers. A higher resin decomposition ratio of 97% could be achieved for the epoxy matrix under mild reaction conditions in comparison to other chemical recycling processes. ATR-FTIR, MALDI/TOF-MS, GPC, GC-MS, 1H NMR, and Pyro-GC/MS analyses showed the formation of low molecular weight oxidation products of amine-cured epoxy resin along with high molecular weight compounds of high viscosity. A possible reaction mechanism for the degradation of the epoxy matrix is proposed. All the solvents used were recovered in pure and reusable form with more than 90% recovery efficiency. The recovered epoxy was reused along with an adhesive grade epoxy (2 wt %) with no significant loss of tensile strength. Almost complete recovery of the recycled products as well as the solvent along with no gaseous emissions and mild reaction conditions make this process more environmentally friendly.","author":[{"dropping-particle":"","family":"Das","given":"Mohan","non-dropping-particle":"","parse-names":false,"suffix":""},{"dropping-particle":"","family":"Chacko","given":"Rinu","non-dropping-particle":"","parse-names":false,"suffix":""},{"dropping-particle":"","family":"Varughese","given":"Susy","non-dropping-particle":"","parse-names":false,"suffix":""}],"container-title":"ACS Sustainable Chemistry and Engineering","id":"ITEM-1","issue":"2","issued":{"date-parts":[["2018"]]},"page":"1564-1571","title":"An Efficient Method of Recycling of CFRP Waste Using Peracetic Acid","type":"article-journal","volume":"6"},"uris":["http://www.mendeley.com/documents/?uuid=78b91b0b-3aaf-468b-bea1-883298c45d8c"]}],"mendeley":{"formattedCitation":"[7]","plainTextFormattedCitation":"[7]"},"properties":{"noteIndex":0},"schema":"https://github.com/citation-style-language/schema/raw/master/csl-citation.json"}</w:instrText>
      </w:r>
      <w:r w:rsidR="00600EC7">
        <w:rPr>
          <w:lang w:val="es-ES"/>
        </w:rPr>
        <w:fldChar w:fldCharType="separate"/>
      </w:r>
      <w:r w:rsidR="00600EC7" w:rsidRPr="00600EC7">
        <w:rPr>
          <w:noProof/>
          <w:lang w:val="es-ES"/>
        </w:rPr>
        <w:t>[7]</w:t>
      </w:r>
      <w:r w:rsidR="00600EC7">
        <w:rPr>
          <w:lang w:val="es-ES"/>
        </w:rPr>
        <w:fldChar w:fldCharType="end"/>
      </w:r>
      <w:r w:rsidRPr="00AF40B9">
        <w:rPr>
          <w:lang w:val="es-ES"/>
        </w:rPr>
        <w:t>. Sin embargo, estos procesos suelen trabajar en sistemas cerrados sin control de la presión y recuperación del solvente. Los procesos actualmente en investigación utilizan condiciones supercríticas que requieren equipos costosos construidos para resistir altas temperaturas o presiones</w:t>
      </w:r>
      <w:r w:rsidR="00E02B81">
        <w:rPr>
          <w:lang w:val="es-ES"/>
        </w:rPr>
        <w:t xml:space="preserve">, </w:t>
      </w:r>
      <w:r w:rsidR="00E02B81" w:rsidRPr="006D04A2">
        <w:rPr>
          <w:lang w:val="es-ES"/>
        </w:rPr>
        <w:t xml:space="preserve">lo que los hace energéticamente intensivos. </w:t>
      </w:r>
      <w:r w:rsidR="00E02B81" w:rsidRPr="00AF40B9">
        <w:rPr>
          <w:lang w:val="es-ES"/>
        </w:rPr>
        <w:t>En general,</w:t>
      </w:r>
      <w:r w:rsidR="00E02B81">
        <w:rPr>
          <w:lang w:val="es-ES"/>
        </w:rPr>
        <w:t xml:space="preserve"> l</w:t>
      </w:r>
      <w:r w:rsidR="00E02B81" w:rsidRPr="006D04A2">
        <w:rPr>
          <w:lang w:val="es-ES"/>
        </w:rPr>
        <w:t>os métodos químicos aseguran la eliminación completa de la resina y la recuperación de fibras largas y continuas con una resistencia mejorada, pero el uso condiciones extremas limita su aplicabilidad a gran escala desde el punto de vista ambiental y económico</w:t>
      </w:r>
      <w:r w:rsidRPr="00AF40B9">
        <w:rPr>
          <w:lang w:val="es-ES"/>
        </w:rPr>
        <w:t xml:space="preserve">. </w:t>
      </w:r>
    </w:p>
    <w:p w14:paraId="00CF3DA3" w14:textId="544C6EF6" w:rsidR="00BA55BF" w:rsidRPr="002F220C" w:rsidRDefault="00BA55BF" w:rsidP="002F220C">
      <w:pPr>
        <w:rPr>
          <w:lang w:val="es-ES"/>
        </w:rPr>
      </w:pPr>
      <w:r w:rsidRPr="00BA55BF">
        <w:rPr>
          <w:lang w:val="es-ES"/>
        </w:rPr>
        <w:t>Teniendo todo esto en cu</w:t>
      </w:r>
      <w:r w:rsidR="00AA60B4">
        <w:rPr>
          <w:lang w:val="es-ES"/>
        </w:rPr>
        <w:t>e</w:t>
      </w:r>
      <w:r w:rsidRPr="00BA55BF">
        <w:rPr>
          <w:lang w:val="es-ES"/>
        </w:rPr>
        <w:t>nta</w:t>
      </w:r>
      <w:r w:rsidR="00E02B81" w:rsidRPr="00BA55BF">
        <w:rPr>
          <w:lang w:val="es-ES"/>
        </w:rPr>
        <w:t>, GAIKER está desarrollando un</w:t>
      </w:r>
      <w:r w:rsidR="006D04A2" w:rsidRPr="00BA55BF">
        <w:rPr>
          <w:lang w:val="es-ES"/>
        </w:rPr>
        <w:t xml:space="preserve"> proceso de solvólisis</w:t>
      </w:r>
      <w:r w:rsidRPr="00BA55BF">
        <w:rPr>
          <w:lang w:val="es-ES"/>
        </w:rPr>
        <w:t xml:space="preserve"> empleando condiciones moderadas, con </w:t>
      </w:r>
      <w:r w:rsidR="00AA60B4">
        <w:rPr>
          <w:lang w:val="es-ES"/>
        </w:rPr>
        <w:t xml:space="preserve">(1) </w:t>
      </w:r>
      <w:r w:rsidRPr="00BA55BF">
        <w:rPr>
          <w:lang w:val="es-ES"/>
        </w:rPr>
        <w:t>presiones mínimas</w:t>
      </w:r>
      <w:r w:rsidR="00AA60B4">
        <w:rPr>
          <w:lang w:val="es-ES"/>
        </w:rPr>
        <w:t xml:space="preserve">, (2) </w:t>
      </w:r>
      <w:r w:rsidRPr="00BA55BF">
        <w:rPr>
          <w:lang w:val="es-ES"/>
        </w:rPr>
        <w:t xml:space="preserve">temperaturas por debajo de los 200 °C y </w:t>
      </w:r>
      <w:r w:rsidR="00AA60B4">
        <w:rPr>
          <w:lang w:val="es-ES"/>
        </w:rPr>
        <w:t xml:space="preserve">(3) </w:t>
      </w:r>
      <w:r w:rsidRPr="00BA55BF">
        <w:rPr>
          <w:lang w:val="es-ES"/>
        </w:rPr>
        <w:t>tiempos de reacción industrialmente adecuados</w:t>
      </w:r>
      <w:r>
        <w:rPr>
          <w:lang w:val="es-ES"/>
        </w:rPr>
        <w:t xml:space="preserve"> que sea </w:t>
      </w:r>
      <w:r w:rsidRPr="00BA55BF">
        <w:rPr>
          <w:lang w:val="es-ES"/>
        </w:rPr>
        <w:t>capaz de tratar residuos reales de CFRP</w:t>
      </w:r>
      <w:r w:rsidR="00C05BFE">
        <w:rPr>
          <w:lang w:val="es-ES"/>
        </w:rPr>
        <w:t xml:space="preserve"> y </w:t>
      </w:r>
      <w:r w:rsidRPr="00BA55BF">
        <w:rPr>
          <w:lang w:val="es-ES"/>
        </w:rPr>
        <w:t xml:space="preserve">recuperando fibras de buena calidad. En este sentido, existen múltiples combinaciones o sistemas de fibra de CFRP-resina-endurecedor, por lo que este </w:t>
      </w:r>
      <w:r>
        <w:rPr>
          <w:lang w:val="es-ES"/>
        </w:rPr>
        <w:t>proceso</w:t>
      </w:r>
      <w:r w:rsidRPr="00BA55BF">
        <w:rPr>
          <w:lang w:val="es-ES"/>
        </w:rPr>
        <w:t xml:space="preserve"> se centrará en composites de fibra de carbono endurecidos con aminas, que son el tipo de agentes de curado más ampliamente utilizados para la formación de resinas epoxi termoestables</w:t>
      </w:r>
      <w:r w:rsidR="0047139C">
        <w:rPr>
          <w:lang w:val="es-ES"/>
        </w:rPr>
        <w:t xml:space="preserve"> </w:t>
      </w:r>
      <w:r w:rsidR="0047139C">
        <w:rPr>
          <w:lang w:val="es-ES"/>
        </w:rPr>
        <w:fldChar w:fldCharType="begin" w:fldLock="1"/>
      </w:r>
      <w:r w:rsidR="00600EC7">
        <w:rPr>
          <w:lang w:val="es-ES"/>
        </w:rPr>
        <w:instrText>ADDIN CSL_CITATION {"citationItems":[{"id":"ITEM-1","itemData":{"DOI":"10.1515/eng-2021-0078","ISSN":"23915439","abstract":"This review presents various types of epoxy resins and curing agents commonly used as composite matrices. A brief review of cross-linking formation and the process of degradation or decomposition of epoxy resins by pyrolysis and solvolysis is also discussed. Mechanical engineers are given a brief overview of the types of epoxy resin, which are often applied as composite matrices considering that they currently play a large role in the research, design, manufacturing, and recycling of these materials.","author":[{"dropping-particle":"","family":"Sukanto","given":"Heru","non-dropping-particle":"","parse-names":false,"suffix":""},{"dropping-particle":"","family":"Raharjo","given":"Wijang Wisnu","non-dropping-particle":"","parse-names":false,"suffix":""},{"dropping-particle":"","family":"Ariawan","given":"Dody","non-dropping-particle":"","parse-names":false,"suffix":""},{"dropping-particle":"","family":"Triyono","given":"Joko","non-dropping-particle":"","parse-names":false,"suffix":""},{"dropping-particle":"","family":"Kaavesina","given":"Mujtahid","non-dropping-particle":"","parse-names":false,"suffix":""}],"container-title":"Open Engineering","id":"ITEM-1","issue":"1","issued":{"date-parts":[["2021"]]},"page":"797-814","title":"Epoxy resins thermosetting for mechanical engineering","type":"article-journal","volume":"11"},"uris":["http://www.mendeley.com/documents/?uuid=eefacb59-ed62-4762-b0ee-2da0b88d974e"]}],"mendeley":{"formattedCitation":"[8]","plainTextFormattedCitation":"[8]","previouslyFormattedCitation":"[7]"},"properties":{"noteIndex":0},"schema":"https://github.com/citation-style-language/schema/raw/master/csl-citation.json"}</w:instrText>
      </w:r>
      <w:r w:rsidR="0047139C">
        <w:rPr>
          <w:lang w:val="es-ES"/>
        </w:rPr>
        <w:fldChar w:fldCharType="separate"/>
      </w:r>
      <w:r w:rsidR="00600EC7" w:rsidRPr="00600EC7">
        <w:rPr>
          <w:noProof/>
          <w:lang w:val="es-ES"/>
        </w:rPr>
        <w:t>[8]</w:t>
      </w:r>
      <w:r w:rsidR="0047139C">
        <w:rPr>
          <w:lang w:val="es-ES"/>
        </w:rPr>
        <w:fldChar w:fldCharType="end"/>
      </w:r>
      <w:r w:rsidRPr="00BA55BF">
        <w:rPr>
          <w:lang w:val="es-ES"/>
        </w:rPr>
        <w:t xml:space="preserve">. La reacción </w:t>
      </w:r>
      <w:r w:rsidRPr="00BA55BF">
        <w:rPr>
          <w:lang w:val="es-ES"/>
        </w:rPr>
        <w:lastRenderedPageBreak/>
        <w:t xml:space="preserve">de solvólisis desarrollada implicará la combinación de agentes de estratificación adecuados con un sistema solvente-catalizador para optimizar los tiempos de reacción en un solo paso. </w:t>
      </w:r>
    </w:p>
    <w:p w14:paraId="1EEDD0D4" w14:textId="686D1BAD" w:rsidR="00C65007" w:rsidRDefault="009266C5" w:rsidP="00C65007">
      <w:pPr>
        <w:pStyle w:val="Ttulo1"/>
      </w:pPr>
      <w:r>
        <w:t>Procedimiento experimental</w:t>
      </w:r>
    </w:p>
    <w:p w14:paraId="76AC0548" w14:textId="77777777" w:rsidR="009F5829" w:rsidRDefault="004E4F0B" w:rsidP="004E4F0B">
      <w:pPr>
        <w:pStyle w:val="Ttulo2"/>
      </w:pPr>
      <w:r>
        <w:t xml:space="preserve">Muestras </w:t>
      </w:r>
      <w:r w:rsidR="009F5829">
        <w:t>utilizadas</w:t>
      </w:r>
    </w:p>
    <w:p w14:paraId="5BD09A01" w14:textId="3130866E" w:rsidR="00F236CF" w:rsidRDefault="00F236CF" w:rsidP="002F4106">
      <w:pPr>
        <w:rPr>
          <w:lang w:val="es-ES"/>
        </w:rPr>
      </w:pPr>
      <w:r>
        <w:rPr>
          <w:lang w:val="es-ES"/>
        </w:rPr>
        <w:t>En este estudio se han empleado</w:t>
      </w:r>
      <w:r w:rsidR="00F93690">
        <w:rPr>
          <w:lang w:val="es-ES"/>
        </w:rPr>
        <w:t xml:space="preserve"> dos muestras diferentes</w:t>
      </w:r>
      <w:r>
        <w:rPr>
          <w:lang w:val="es-ES"/>
        </w:rPr>
        <w:t xml:space="preserve">: (1) Muestra de referencia </w:t>
      </w:r>
      <w:r w:rsidR="005D4EEF">
        <w:rPr>
          <w:lang w:val="es-ES"/>
        </w:rPr>
        <w:t>con resina curada y de</w:t>
      </w:r>
      <w:r>
        <w:rPr>
          <w:lang w:val="es-ES"/>
        </w:rPr>
        <w:t xml:space="preserve"> composición conocida para estudiar las condiciones del proceso de solvólisis y (2) Muestra de residuo </w:t>
      </w:r>
      <w:r w:rsidR="005D4EEF">
        <w:rPr>
          <w:lang w:val="es-ES"/>
        </w:rPr>
        <w:t xml:space="preserve">con resina no curada </w:t>
      </w:r>
      <w:r>
        <w:rPr>
          <w:lang w:val="es-ES"/>
        </w:rPr>
        <w:t>procedente de aeronáutica para validar el proceso de solvólisis.</w:t>
      </w:r>
    </w:p>
    <w:p w14:paraId="0AA64B86" w14:textId="66BB050C" w:rsidR="002F4106" w:rsidRDefault="002F4106" w:rsidP="002F4106">
      <w:pPr>
        <w:rPr>
          <w:lang w:val="es-ES"/>
        </w:rPr>
      </w:pPr>
      <w:r w:rsidRPr="004D6BC0">
        <w:rPr>
          <w:lang w:val="es-ES"/>
        </w:rPr>
        <w:t xml:space="preserve">La muestra </w:t>
      </w:r>
      <w:r>
        <w:rPr>
          <w:lang w:val="es-ES"/>
        </w:rPr>
        <w:t xml:space="preserve">de referencia (ver </w:t>
      </w:r>
      <w:r w:rsidR="00834C44">
        <w:rPr>
          <w:lang w:val="es-ES"/>
        </w:rPr>
        <w:t>Figura 1a</w:t>
      </w:r>
      <w:r>
        <w:rPr>
          <w:lang w:val="es-ES"/>
        </w:rPr>
        <w:t>) utilizada</w:t>
      </w:r>
      <w:r w:rsidRPr="004D6BC0">
        <w:rPr>
          <w:lang w:val="es-ES"/>
        </w:rPr>
        <w:t xml:space="preserve"> en este estudio está compuesta de resina epoxi (</w:t>
      </w:r>
      <w:r>
        <w:rPr>
          <w:lang w:val="es-ES"/>
        </w:rPr>
        <w:t>53</w:t>
      </w:r>
      <w:r w:rsidRPr="004D6BC0">
        <w:rPr>
          <w:lang w:val="es-ES"/>
        </w:rPr>
        <w:t xml:space="preserve"> % en peso</w:t>
      </w:r>
      <w:r>
        <w:rPr>
          <w:lang w:val="es-ES"/>
        </w:rPr>
        <w:t xml:space="preserve"> </w:t>
      </w:r>
      <w:r w:rsidRPr="002F4106">
        <w:rPr>
          <w:lang w:val="es-ES"/>
        </w:rPr>
        <w:t>aproximadamente</w:t>
      </w:r>
      <w:r>
        <w:rPr>
          <w:lang w:val="es-ES"/>
        </w:rPr>
        <w:t>) y fibra de carbono</w:t>
      </w:r>
      <w:r w:rsidRPr="002F4106">
        <w:rPr>
          <w:lang w:val="es-ES"/>
        </w:rPr>
        <w:t xml:space="preserve"> </w:t>
      </w:r>
      <w:r>
        <w:rPr>
          <w:lang w:val="es-ES"/>
        </w:rPr>
        <w:t>(</w:t>
      </w:r>
      <w:r w:rsidRPr="004D6BC0">
        <w:rPr>
          <w:lang w:val="es-ES"/>
        </w:rPr>
        <w:t>1</w:t>
      </w:r>
      <w:r w:rsidR="00601D42">
        <w:rPr>
          <w:lang w:val="es-ES"/>
        </w:rPr>
        <w:t>.200</w:t>
      </w:r>
      <w:r w:rsidRPr="004D6BC0">
        <w:rPr>
          <w:lang w:val="es-ES"/>
        </w:rPr>
        <w:t xml:space="preserve"> g m</w:t>
      </w:r>
      <w:r w:rsidRPr="004D6BC0">
        <w:rPr>
          <w:vertAlign w:val="superscript"/>
          <w:lang w:val="es-ES"/>
        </w:rPr>
        <w:t>-2</w:t>
      </w:r>
      <w:r>
        <w:rPr>
          <w:lang w:val="es-ES"/>
        </w:rPr>
        <w:t xml:space="preserve">). Se trata de una </w:t>
      </w:r>
      <w:r w:rsidRPr="002F4106">
        <w:rPr>
          <w:lang w:val="es-ES"/>
        </w:rPr>
        <w:t xml:space="preserve">placa de 35 </w:t>
      </w:r>
      <w:r w:rsidR="00AA60B4">
        <w:rPr>
          <w:lang w:val="es-ES"/>
        </w:rPr>
        <w:t xml:space="preserve">x </w:t>
      </w:r>
      <w:r w:rsidRPr="002F4106">
        <w:rPr>
          <w:lang w:val="es-ES"/>
        </w:rPr>
        <w:t xml:space="preserve">30 cm basada en 6 capas del tejido de carbono bidireccional GG200 y con el sistema epoxi/amina de </w:t>
      </w:r>
      <w:proofErr w:type="spellStart"/>
      <w:r w:rsidRPr="002F4106">
        <w:rPr>
          <w:lang w:val="es-ES"/>
        </w:rPr>
        <w:t>Huntsman</w:t>
      </w:r>
      <w:proofErr w:type="spellEnd"/>
      <w:r>
        <w:rPr>
          <w:lang w:val="es-ES"/>
        </w:rPr>
        <w:t>.</w:t>
      </w:r>
    </w:p>
    <w:p w14:paraId="25AE7F63" w14:textId="2547E6A8" w:rsidR="00F236CF" w:rsidRDefault="00F236CF" w:rsidP="00F236CF">
      <w:pPr>
        <w:rPr>
          <w:lang w:val="es-ES"/>
        </w:rPr>
      </w:pPr>
      <w:r w:rsidRPr="004D6BC0">
        <w:rPr>
          <w:lang w:val="es-ES"/>
        </w:rPr>
        <w:t xml:space="preserve">La muestra </w:t>
      </w:r>
      <w:r>
        <w:rPr>
          <w:lang w:val="es-ES"/>
        </w:rPr>
        <w:t>de residuo (ver</w:t>
      </w:r>
      <w:r w:rsidR="00834C44">
        <w:rPr>
          <w:lang w:val="es-ES"/>
        </w:rPr>
        <w:t xml:space="preserve"> Figura 1b</w:t>
      </w:r>
      <w:r>
        <w:rPr>
          <w:lang w:val="es-ES"/>
        </w:rPr>
        <w:t>) utilizada</w:t>
      </w:r>
      <w:r w:rsidRPr="004D6BC0">
        <w:rPr>
          <w:lang w:val="es-ES"/>
        </w:rPr>
        <w:t xml:space="preserve"> en este estudio está compuesta de resina epoxi M21 de </w:t>
      </w:r>
      <w:proofErr w:type="spellStart"/>
      <w:r w:rsidRPr="004D6BC0">
        <w:rPr>
          <w:lang w:val="es-ES"/>
        </w:rPr>
        <w:t>Hexcel</w:t>
      </w:r>
      <w:proofErr w:type="spellEnd"/>
      <w:r w:rsidRPr="004D6BC0">
        <w:rPr>
          <w:lang w:val="es-ES"/>
        </w:rPr>
        <w:t xml:space="preserve"> (34 % en peso) y fibras de carbono T800S de </w:t>
      </w:r>
      <w:proofErr w:type="spellStart"/>
      <w:r w:rsidRPr="004D6BC0">
        <w:rPr>
          <w:lang w:val="es-ES"/>
        </w:rPr>
        <w:t>Toray</w:t>
      </w:r>
      <w:proofErr w:type="spellEnd"/>
      <w:r w:rsidRPr="004D6BC0">
        <w:rPr>
          <w:lang w:val="es-ES"/>
        </w:rPr>
        <w:t xml:space="preserve"> (194 g m</w:t>
      </w:r>
      <w:r w:rsidRPr="004D6BC0">
        <w:rPr>
          <w:vertAlign w:val="superscript"/>
          <w:lang w:val="es-ES"/>
        </w:rPr>
        <w:t>-2</w:t>
      </w:r>
      <w:r w:rsidRPr="004D6BC0">
        <w:rPr>
          <w:lang w:val="es-ES"/>
        </w:rPr>
        <w:t>) dispuestas de forma unidireccional.</w:t>
      </w:r>
      <w:r>
        <w:rPr>
          <w:lang w:val="es-ES"/>
        </w:rPr>
        <w:t xml:space="preserve"> Se trata de </w:t>
      </w:r>
      <w:r w:rsidRPr="004D6BC0">
        <w:rPr>
          <w:lang w:val="es-ES"/>
        </w:rPr>
        <w:t xml:space="preserve">un rollo de </w:t>
      </w:r>
      <w:proofErr w:type="spellStart"/>
      <w:r w:rsidRPr="004D6BC0">
        <w:rPr>
          <w:lang w:val="es-ES"/>
        </w:rPr>
        <w:t>preimpregnado</w:t>
      </w:r>
      <w:proofErr w:type="spellEnd"/>
      <w:r w:rsidRPr="004D6BC0">
        <w:rPr>
          <w:lang w:val="es-ES"/>
        </w:rPr>
        <w:t xml:space="preserve"> caducado procedente de la fabricación de piezas estructurales en la industria aeronáutica, fabricado por </w:t>
      </w:r>
      <w:proofErr w:type="spellStart"/>
      <w:r w:rsidRPr="004D6BC0">
        <w:rPr>
          <w:lang w:val="es-ES"/>
        </w:rPr>
        <w:t>Hexcel</w:t>
      </w:r>
      <w:proofErr w:type="spellEnd"/>
      <w:r w:rsidRPr="004D6BC0">
        <w:rPr>
          <w:lang w:val="es-ES"/>
        </w:rPr>
        <w:t xml:space="preserve"> y comercialmente </w:t>
      </w:r>
      <w:proofErr w:type="spellStart"/>
      <w:r w:rsidRPr="004D6BC0">
        <w:rPr>
          <w:lang w:val="es-ES"/>
        </w:rPr>
        <w:t>Hexply</w:t>
      </w:r>
      <w:proofErr w:type="spellEnd"/>
      <w:r w:rsidRPr="004D6BC0">
        <w:rPr>
          <w:lang w:val="es-ES"/>
        </w:rPr>
        <w:t xml:space="preserve"> M21. Este </w:t>
      </w:r>
      <w:proofErr w:type="spellStart"/>
      <w:r w:rsidRPr="004D6BC0">
        <w:rPr>
          <w:lang w:val="es-ES"/>
        </w:rPr>
        <w:t>preimpregnado</w:t>
      </w:r>
      <w:proofErr w:type="spellEnd"/>
      <w:r w:rsidRPr="004D6BC0">
        <w:rPr>
          <w:lang w:val="es-ES"/>
        </w:rPr>
        <w:t xml:space="preserve"> es un sistema epoxi de alto rendimiento para uso en estructuras aeroespaciales primarias debido a su excelente tolerancia a los de alta energía. Estos rollos de </w:t>
      </w:r>
      <w:proofErr w:type="spellStart"/>
      <w:r w:rsidRPr="004D6BC0">
        <w:rPr>
          <w:lang w:val="es-ES"/>
        </w:rPr>
        <w:t>preimpregnado</w:t>
      </w:r>
      <w:proofErr w:type="spellEnd"/>
      <w:r w:rsidRPr="004D6BC0">
        <w:rPr>
          <w:lang w:val="es-ES"/>
        </w:rPr>
        <w:t xml:space="preserve"> se emplean en máquinas envolvedoras automáticas y se consideran residuos (caducados) después de un año </w:t>
      </w:r>
      <w:r>
        <w:rPr>
          <w:lang w:val="es-ES"/>
        </w:rPr>
        <w:t xml:space="preserve">de </w:t>
      </w:r>
      <w:r w:rsidRPr="004D6BC0">
        <w:rPr>
          <w:lang w:val="es-ES"/>
        </w:rPr>
        <w:t xml:space="preserve">su fabricación y/o después de aproximadamente un mes fuera de las condiciones de almacenamiento a baja temperatura. </w:t>
      </w:r>
    </w:p>
    <w:p w14:paraId="7AC9ADDB" w14:textId="77777777" w:rsidR="00F236CF" w:rsidRDefault="00F236CF" w:rsidP="00F236CF">
      <w:pPr>
        <w:rPr>
          <w:lang w:val="es-ES"/>
        </w:rPr>
      </w:pPr>
    </w:p>
    <w:tbl>
      <w:tblPr>
        <w:tblStyle w:val="Tablaconcuadrcula"/>
        <w:tblW w:w="9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5"/>
        <w:gridCol w:w="4386"/>
      </w:tblGrid>
      <w:tr w:rsidR="00F236CF" w14:paraId="6DB97B7C" w14:textId="77777777" w:rsidTr="00F236CF">
        <w:trPr>
          <w:trHeight w:val="3558"/>
        </w:trPr>
        <w:tc>
          <w:tcPr>
            <w:tcW w:w="4975" w:type="dxa"/>
          </w:tcPr>
          <w:p w14:paraId="2FF504E2" w14:textId="77777777" w:rsidR="00F236CF" w:rsidRDefault="00F236CF" w:rsidP="002F4106">
            <w:pPr>
              <w:rPr>
                <w:lang w:val="es-ES"/>
              </w:rPr>
            </w:pPr>
            <w:r w:rsidRPr="002F4106">
              <w:rPr>
                <w:noProof/>
              </w:rPr>
              <w:drawing>
                <wp:inline distT="0" distB="0" distL="0" distR="0" wp14:anchorId="327263B4" wp14:editId="701E5EE2">
                  <wp:extent cx="2716306" cy="2159635"/>
                  <wp:effectExtent l="0" t="0" r="8255" b="0"/>
                  <wp:docPr id="6" name="Imagen 4" descr="Imagen en blanco y negro&#10;&#10;Descripción generada automáticamente con confianza baja">
                    <a:extLst xmlns:a="http://schemas.openxmlformats.org/drawingml/2006/main">
                      <a:ext uri="{FF2B5EF4-FFF2-40B4-BE49-F238E27FC236}">
                        <a16:creationId xmlns:a16="http://schemas.microsoft.com/office/drawing/2014/main" id="{2BAD1BA2-9999-4F08-AF9D-305C8CF2193B}"/>
                      </a:ext>
                    </a:extLst>
                  </wp:docPr>
                  <wp:cNvGraphicFramePr/>
                  <a:graphic xmlns:a="http://schemas.openxmlformats.org/drawingml/2006/main">
                    <a:graphicData uri="http://schemas.openxmlformats.org/drawingml/2006/picture">
                      <pic:pic xmlns:pic="http://schemas.openxmlformats.org/drawingml/2006/picture">
                        <pic:nvPicPr>
                          <pic:cNvPr id="5" name="Imagen 4" descr="Imagen en blanco y negro&#10;&#10;Descripción generada automáticamente con confianza baja">
                            <a:extLst>
                              <a:ext uri="{FF2B5EF4-FFF2-40B4-BE49-F238E27FC236}">
                                <a16:creationId xmlns:a16="http://schemas.microsoft.com/office/drawing/2014/main" id="{2BAD1BA2-9999-4F08-AF9D-305C8CF2193B}"/>
                              </a:ext>
                            </a:extLst>
                          </pic:cNvPr>
                          <pic:cNvPicPr/>
                        </pic:nvPicPr>
                        <pic:blipFill rotWithShape="1">
                          <a:blip r:embed="rId8" cstate="print">
                            <a:extLst>
                              <a:ext uri="{28A0092B-C50C-407E-A947-70E740481C1C}">
                                <a14:useLocalDpi xmlns:a14="http://schemas.microsoft.com/office/drawing/2010/main" val="0"/>
                              </a:ext>
                            </a:extLst>
                          </a:blip>
                          <a:srcRect l="13750" t="13274" r="14651" b="3881"/>
                          <a:stretch/>
                        </pic:blipFill>
                        <pic:spPr bwMode="auto">
                          <a:xfrm>
                            <a:off x="0" y="0"/>
                            <a:ext cx="2720109" cy="2162658"/>
                          </a:xfrm>
                          <a:prstGeom prst="rect">
                            <a:avLst/>
                          </a:prstGeom>
                          <a:ln>
                            <a:noFill/>
                          </a:ln>
                          <a:extLst>
                            <a:ext uri="{53640926-AAD7-44D8-BBD7-CCE9431645EC}">
                              <a14:shadowObscured xmlns:a14="http://schemas.microsoft.com/office/drawing/2010/main"/>
                            </a:ext>
                          </a:extLst>
                        </pic:spPr>
                      </pic:pic>
                    </a:graphicData>
                  </a:graphic>
                </wp:inline>
              </w:drawing>
            </w:r>
          </w:p>
        </w:tc>
        <w:tc>
          <w:tcPr>
            <w:tcW w:w="4386" w:type="dxa"/>
          </w:tcPr>
          <w:p w14:paraId="65C911B7" w14:textId="46783AB3" w:rsidR="00F236CF" w:rsidRDefault="00F236CF" w:rsidP="002F4106">
            <w:pPr>
              <w:rPr>
                <w:lang w:val="es-ES"/>
              </w:rPr>
            </w:pPr>
            <w:r w:rsidRPr="005A72FD">
              <w:rPr>
                <w:noProof/>
              </w:rPr>
              <w:drawing>
                <wp:inline distT="0" distB="0" distL="0" distR="0" wp14:anchorId="0D70D1E7" wp14:editId="4D8CFF3B">
                  <wp:extent cx="2538081" cy="2160000"/>
                  <wp:effectExtent l="0" t="0" r="0" b="0"/>
                  <wp:docPr id="7" name="Imagen 4" descr="Imagen que contiene tabla, azul, hecho de madera, alimentos&#10;&#10;Descripción generada automáticamente">
                    <a:extLst xmlns:a="http://schemas.openxmlformats.org/drawingml/2006/main">
                      <a:ext uri="{FF2B5EF4-FFF2-40B4-BE49-F238E27FC236}">
                        <a16:creationId xmlns:a16="http://schemas.microsoft.com/office/drawing/2014/main" id="{F02C8F14-77E7-4B43-A11D-08359DC1C5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magen que contiene tabla, azul, hecho de madera, alimentos&#10;&#10;Descripción generada automáticamente">
                            <a:extLst>
                              <a:ext uri="{FF2B5EF4-FFF2-40B4-BE49-F238E27FC236}">
                                <a16:creationId xmlns:a16="http://schemas.microsoft.com/office/drawing/2014/main" id="{F02C8F14-77E7-4B43-A11D-08359DC1C582}"/>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1689" t="4821" r="25682"/>
                          <a:stretch/>
                        </pic:blipFill>
                        <pic:spPr>
                          <a:xfrm>
                            <a:off x="0" y="0"/>
                            <a:ext cx="2538081" cy="2160000"/>
                          </a:xfrm>
                          <a:prstGeom prst="rect">
                            <a:avLst/>
                          </a:prstGeom>
                        </pic:spPr>
                      </pic:pic>
                    </a:graphicData>
                  </a:graphic>
                </wp:inline>
              </w:drawing>
            </w:r>
          </w:p>
        </w:tc>
      </w:tr>
      <w:tr w:rsidR="00F236CF" w:rsidRPr="00F856AC" w14:paraId="28FB9240" w14:textId="77777777" w:rsidTr="00F236CF">
        <w:trPr>
          <w:trHeight w:val="381"/>
        </w:trPr>
        <w:tc>
          <w:tcPr>
            <w:tcW w:w="4975" w:type="dxa"/>
          </w:tcPr>
          <w:p w14:paraId="7FC3345C" w14:textId="546F27CD" w:rsidR="00F236CF" w:rsidRDefault="00F236CF" w:rsidP="00F236CF">
            <w:pPr>
              <w:pStyle w:val="Descripcin"/>
              <w:rPr>
                <w:lang w:val="es-ES"/>
              </w:rPr>
            </w:pPr>
            <w:r w:rsidRPr="004E27A4">
              <w:rPr>
                <w:lang w:val="es-ES"/>
              </w:rPr>
              <w:t xml:space="preserve">Figura </w:t>
            </w:r>
            <w:r w:rsidR="00C80128">
              <w:fldChar w:fldCharType="begin"/>
            </w:r>
            <w:r w:rsidR="00C80128" w:rsidRPr="004E27A4">
              <w:rPr>
                <w:lang w:val="es-ES"/>
              </w:rPr>
              <w:instrText xml:space="preserve"> SEQ Figura \* ARABIC </w:instrText>
            </w:r>
            <w:r w:rsidR="00C80128">
              <w:fldChar w:fldCharType="separate"/>
            </w:r>
            <w:r w:rsidR="007E1412" w:rsidRPr="004E27A4">
              <w:rPr>
                <w:noProof/>
                <w:lang w:val="es-ES"/>
              </w:rPr>
              <w:t>1</w:t>
            </w:r>
            <w:r w:rsidR="00C80128">
              <w:rPr>
                <w:noProof/>
              </w:rPr>
              <w:fldChar w:fldCharType="end"/>
            </w:r>
            <w:r w:rsidR="004E27A4" w:rsidRPr="004E27A4">
              <w:rPr>
                <w:noProof/>
                <w:lang w:val="es-ES"/>
              </w:rPr>
              <w:t>a</w:t>
            </w:r>
            <w:r w:rsidRPr="004E27A4">
              <w:rPr>
                <w:lang w:val="es-ES"/>
              </w:rPr>
              <w:t>. Muestra de referencia</w:t>
            </w:r>
          </w:p>
        </w:tc>
        <w:tc>
          <w:tcPr>
            <w:tcW w:w="4386" w:type="dxa"/>
          </w:tcPr>
          <w:p w14:paraId="7EBCB869" w14:textId="20276E11" w:rsidR="00F236CF" w:rsidRDefault="00F236CF" w:rsidP="00F236CF">
            <w:pPr>
              <w:pStyle w:val="Descripcin"/>
              <w:rPr>
                <w:lang w:val="es-ES"/>
              </w:rPr>
            </w:pPr>
            <w:r w:rsidRPr="005A72FD">
              <w:rPr>
                <w:lang w:val="es-ES"/>
              </w:rPr>
              <w:t xml:space="preserve">Figura </w:t>
            </w:r>
            <w:r w:rsidR="004E27A4">
              <w:rPr>
                <w:lang w:val="es-ES"/>
              </w:rPr>
              <w:t>1b</w:t>
            </w:r>
            <w:r w:rsidRPr="005A72FD">
              <w:rPr>
                <w:lang w:val="es-ES"/>
              </w:rPr>
              <w:t>. Mue</w:t>
            </w:r>
            <w:r>
              <w:rPr>
                <w:lang w:val="es-ES"/>
              </w:rPr>
              <w:t>s</w:t>
            </w:r>
            <w:r w:rsidRPr="005A72FD">
              <w:rPr>
                <w:lang w:val="es-ES"/>
              </w:rPr>
              <w:t>tra de residuo d</w:t>
            </w:r>
            <w:r>
              <w:rPr>
                <w:lang w:val="es-ES"/>
              </w:rPr>
              <w:t>e aeronáutica</w:t>
            </w:r>
          </w:p>
        </w:tc>
      </w:tr>
    </w:tbl>
    <w:p w14:paraId="6C871AA5" w14:textId="77777777" w:rsidR="002F4106" w:rsidRPr="002F4106" w:rsidRDefault="002F4106" w:rsidP="002F4106">
      <w:pPr>
        <w:rPr>
          <w:lang w:val="es-ES"/>
        </w:rPr>
      </w:pPr>
    </w:p>
    <w:p w14:paraId="391FD9B7" w14:textId="656FE91C" w:rsidR="004D6BC0" w:rsidRDefault="004E4F0B" w:rsidP="004D6BC0">
      <w:pPr>
        <w:pStyle w:val="Ttulo2"/>
      </w:pPr>
      <w:r>
        <w:t>Procedimiento y e</w:t>
      </w:r>
      <w:r w:rsidR="004D6BC0">
        <w:t>quipos utilizados</w:t>
      </w:r>
    </w:p>
    <w:p w14:paraId="3612EAF0" w14:textId="5E995D42" w:rsidR="00684223" w:rsidRPr="006A3A33" w:rsidRDefault="009F5829" w:rsidP="00684223">
      <w:pPr>
        <w:rPr>
          <w:lang w:val="es-ES"/>
        </w:rPr>
      </w:pPr>
      <w:r w:rsidRPr="009F5829">
        <w:rPr>
          <w:rFonts w:cstheme="minorHAnsi"/>
          <w:lang w:val="es-ES"/>
        </w:rPr>
        <w:t xml:space="preserve">En primer lugar, se acondiciona el material mediante </w:t>
      </w:r>
      <w:r w:rsidR="004E27A4">
        <w:rPr>
          <w:rFonts w:cstheme="minorHAnsi"/>
          <w:lang w:val="es-ES"/>
        </w:rPr>
        <w:t xml:space="preserve">reducción de tamaño </w:t>
      </w:r>
      <w:r w:rsidRPr="009F5829">
        <w:rPr>
          <w:rFonts w:cstheme="minorHAnsi"/>
          <w:lang w:val="es-ES"/>
        </w:rPr>
        <w:t xml:space="preserve">para la adecuación al sistema de reacción. </w:t>
      </w:r>
      <w:r w:rsidR="00684223" w:rsidRPr="006A3A33">
        <w:rPr>
          <w:lang w:val="es-ES"/>
        </w:rPr>
        <w:t>El equipo empleado en las reacciones de solvólisis se muestra en la</w:t>
      </w:r>
      <w:r w:rsidR="00ED0F1A">
        <w:rPr>
          <w:lang w:val="es-ES"/>
        </w:rPr>
        <w:t xml:space="preserve"> </w:t>
      </w:r>
      <w:r w:rsidR="00834C44">
        <w:rPr>
          <w:lang w:val="es-ES"/>
        </w:rPr>
        <w:t>Figura 2</w:t>
      </w:r>
      <w:r w:rsidR="00EE38AE">
        <w:rPr>
          <w:lang w:val="es-ES"/>
        </w:rPr>
        <w:t xml:space="preserve"> está c</w:t>
      </w:r>
      <w:r w:rsidR="00684223" w:rsidRPr="006A3A33">
        <w:rPr>
          <w:lang w:val="es-ES"/>
        </w:rPr>
        <w:t xml:space="preserve">ompuesto por un reactor esférico de vidrio, un sistema de calefacción mediante placa </w:t>
      </w:r>
      <w:r w:rsidR="00684223" w:rsidRPr="006A3A33">
        <w:rPr>
          <w:lang w:val="es-ES"/>
        </w:rPr>
        <w:lastRenderedPageBreak/>
        <w:t>calefactora y control de temperatura mediante sonda PT-100, sistema de agitación mecánico mediante pala y columna de condensación.</w:t>
      </w:r>
    </w:p>
    <w:p w14:paraId="0ECBD6DA" w14:textId="77777777" w:rsidR="00684223" w:rsidRDefault="00684223" w:rsidP="00684223">
      <w:pPr>
        <w:keepNext/>
        <w:jc w:val="center"/>
      </w:pPr>
      <w:r w:rsidRPr="00B92A18">
        <w:rPr>
          <w:rFonts w:cstheme="minorHAnsi"/>
          <w:noProof/>
          <w:lang w:eastAsia="es-ES"/>
        </w:rPr>
        <w:drawing>
          <wp:inline distT="0" distB="0" distL="0" distR="0" wp14:anchorId="7BE980CA" wp14:editId="47FECD14">
            <wp:extent cx="2080321" cy="2809875"/>
            <wp:effectExtent l="0" t="0" r="0" b="0"/>
            <wp:docPr id="4" name="Imagen 8" descr="Imagen que contiene interior, aparato, tabla, agua&#10;&#10;Descripción generada automáticamente">
              <a:extLst xmlns:a="http://schemas.openxmlformats.org/drawingml/2006/main">
                <a:ext uri="{FF2B5EF4-FFF2-40B4-BE49-F238E27FC236}">
                  <a16:creationId xmlns:a16="http://schemas.microsoft.com/office/drawing/2014/main" id="{C35466D5-ABDF-4455-9E42-2F3CC85EE6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n 8" descr="Imagen que contiene interior, aparato, tabla, agua&#10;&#10;Descripción generada automáticamente">
                      <a:extLst>
                        <a:ext uri="{FF2B5EF4-FFF2-40B4-BE49-F238E27FC236}">
                          <a16:creationId xmlns:a16="http://schemas.microsoft.com/office/drawing/2014/main" id="{C35466D5-ABDF-4455-9E42-2F3CC85EE60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1974" cy="2812108"/>
                    </a:xfrm>
                    <a:prstGeom prst="rect">
                      <a:avLst/>
                    </a:prstGeom>
                    <a:noFill/>
                    <a:ln>
                      <a:noFill/>
                    </a:ln>
                  </pic:spPr>
                </pic:pic>
              </a:graphicData>
            </a:graphic>
          </wp:inline>
        </w:drawing>
      </w:r>
    </w:p>
    <w:p w14:paraId="35C0874A" w14:textId="2731DAA6" w:rsidR="00684223" w:rsidRPr="00684223" w:rsidRDefault="00684223" w:rsidP="00684223">
      <w:pPr>
        <w:jc w:val="center"/>
        <w:rPr>
          <w:iCs/>
          <w:noProof/>
          <w:sz w:val="20"/>
          <w:szCs w:val="18"/>
          <w:lang w:val="es-ES"/>
        </w:rPr>
      </w:pPr>
      <w:bookmarkStart w:id="0" w:name="_Ref135144970"/>
      <w:r w:rsidRPr="00684223">
        <w:rPr>
          <w:iCs/>
          <w:noProof/>
          <w:sz w:val="20"/>
          <w:szCs w:val="18"/>
          <w:lang w:val="es-ES"/>
        </w:rPr>
        <w:t xml:space="preserve">Figura </w:t>
      </w:r>
      <w:r w:rsidRPr="00684223">
        <w:rPr>
          <w:iCs/>
          <w:noProof/>
          <w:sz w:val="20"/>
          <w:szCs w:val="18"/>
          <w:lang w:val="es-ES"/>
        </w:rPr>
        <w:fldChar w:fldCharType="begin"/>
      </w:r>
      <w:r w:rsidRPr="00684223">
        <w:rPr>
          <w:iCs/>
          <w:noProof/>
          <w:sz w:val="20"/>
          <w:szCs w:val="18"/>
          <w:lang w:val="es-ES"/>
        </w:rPr>
        <w:instrText xml:space="preserve"> SEQ Figura \* ARABIC </w:instrText>
      </w:r>
      <w:r w:rsidRPr="00684223">
        <w:rPr>
          <w:iCs/>
          <w:noProof/>
          <w:sz w:val="20"/>
          <w:szCs w:val="18"/>
          <w:lang w:val="es-ES"/>
        </w:rPr>
        <w:fldChar w:fldCharType="separate"/>
      </w:r>
      <w:r w:rsidR="004E27A4">
        <w:rPr>
          <w:iCs/>
          <w:noProof/>
          <w:sz w:val="20"/>
          <w:szCs w:val="18"/>
          <w:lang w:val="es-ES"/>
        </w:rPr>
        <w:t>2</w:t>
      </w:r>
      <w:r w:rsidRPr="00684223">
        <w:rPr>
          <w:iCs/>
          <w:noProof/>
          <w:sz w:val="20"/>
          <w:szCs w:val="18"/>
          <w:lang w:val="es-ES"/>
        </w:rPr>
        <w:fldChar w:fldCharType="end"/>
      </w:r>
      <w:bookmarkEnd w:id="0"/>
      <w:r w:rsidRPr="00684223">
        <w:rPr>
          <w:iCs/>
          <w:noProof/>
          <w:sz w:val="20"/>
          <w:szCs w:val="18"/>
          <w:lang w:val="es-ES"/>
        </w:rPr>
        <w:t>. Sistema de reacción empleado en la sóllisis de composites</w:t>
      </w:r>
    </w:p>
    <w:p w14:paraId="2F3973CA" w14:textId="6C1B5B04" w:rsidR="009F5829" w:rsidRPr="009F5829" w:rsidRDefault="009F5829" w:rsidP="009F5829">
      <w:pPr>
        <w:rPr>
          <w:rFonts w:cstheme="minorHAnsi"/>
          <w:lang w:val="es-ES"/>
        </w:rPr>
      </w:pPr>
      <w:r w:rsidRPr="009F5829">
        <w:rPr>
          <w:rFonts w:cstheme="minorHAnsi"/>
          <w:lang w:val="es-ES"/>
        </w:rPr>
        <w:t>El proceso de solv</w:t>
      </w:r>
      <w:r w:rsidR="00684223">
        <w:rPr>
          <w:rFonts w:cstheme="minorHAnsi"/>
          <w:lang w:val="es-ES"/>
        </w:rPr>
        <w:t>ó</w:t>
      </w:r>
      <w:r w:rsidRPr="009F5829">
        <w:rPr>
          <w:rFonts w:cstheme="minorHAnsi"/>
          <w:lang w:val="es-ES"/>
        </w:rPr>
        <w:t xml:space="preserve">lisis consiste </w:t>
      </w:r>
      <w:r w:rsidR="004E27A4">
        <w:rPr>
          <w:rFonts w:cstheme="minorHAnsi"/>
          <w:lang w:val="es-ES"/>
        </w:rPr>
        <w:t>en usar un disolvente, en el que generalmente se dispersa un agente catalizador o promotor, como medio para completar la reacción en la que el polímero se transforma en compuesto químicos más simples. Tras una serie de pruebas con diferentes medios (alcoholes, ácidos y aminas) combinados con distintos agentes (ácidos, bases) se trabajó con un ácido orgánico, ácido acético anhidro y un agente oxidante, peróxido de hidrógeno.</w:t>
      </w:r>
    </w:p>
    <w:p w14:paraId="4A1BDB6F" w14:textId="6B9F56C5" w:rsidR="009F5829" w:rsidRDefault="009F5829" w:rsidP="009F5829">
      <w:pPr>
        <w:rPr>
          <w:rFonts w:cstheme="minorHAnsi"/>
          <w:lang w:val="es-ES"/>
        </w:rPr>
      </w:pPr>
      <w:r w:rsidRPr="009F5829">
        <w:rPr>
          <w:rFonts w:cstheme="minorHAnsi"/>
          <w:lang w:val="es-ES"/>
        </w:rPr>
        <w:t xml:space="preserve">El objetivo es la despolimerización de la resina para la separación de las fibras presentes en el composite mediante la rotura de la matriz </w:t>
      </w:r>
      <w:proofErr w:type="spellStart"/>
      <w:r w:rsidRPr="009F5829">
        <w:rPr>
          <w:rFonts w:cstheme="minorHAnsi"/>
          <w:lang w:val="es-ES"/>
        </w:rPr>
        <w:t>epoxídica</w:t>
      </w:r>
      <w:proofErr w:type="spellEnd"/>
      <w:r w:rsidRPr="009F5829">
        <w:rPr>
          <w:rFonts w:cstheme="minorHAnsi"/>
          <w:lang w:val="es-ES"/>
        </w:rPr>
        <w:t xml:space="preserve"> reticulada. Para ello, se emplea un oxidante como es el ácido peracético (PAA) obtenido mediante la reacción del ácido acético y el peróxido de hidrógeno como se muestra en </w:t>
      </w:r>
      <w:r>
        <w:rPr>
          <w:lang w:val="es-ES"/>
        </w:rPr>
        <w:t xml:space="preserve">la ecuación </w:t>
      </w:r>
      <w:r>
        <w:rPr>
          <w:lang w:val="es-ES"/>
        </w:rPr>
        <w:fldChar w:fldCharType="begin"/>
      </w:r>
      <w:r>
        <w:rPr>
          <w:lang w:val="es-ES"/>
        </w:rPr>
        <w:instrText xml:space="preserve"> REF _Ref135134243 \h </w:instrText>
      </w:r>
      <w:r>
        <w:rPr>
          <w:lang w:val="es-ES"/>
        </w:rPr>
      </w:r>
      <w:r>
        <w:rPr>
          <w:lang w:val="es-ES"/>
        </w:rPr>
        <w:fldChar w:fldCharType="separate"/>
      </w:r>
      <w:r w:rsidR="0014623D" w:rsidRPr="0014623D">
        <w:rPr>
          <w:lang w:val="es-ES"/>
        </w:rPr>
        <w:t>(</w:t>
      </w:r>
      <w:r w:rsidR="0014623D" w:rsidRPr="0014623D">
        <w:rPr>
          <w:noProof/>
          <w:lang w:val="es-ES"/>
        </w:rPr>
        <w:t>1</w:t>
      </w:r>
      <w:r>
        <w:rPr>
          <w:lang w:val="es-ES"/>
        </w:rPr>
        <w:fldChar w:fldCharType="end"/>
      </w:r>
      <w:r>
        <w:rPr>
          <w:lang w:val="es-ES"/>
        </w:rPr>
        <w:t>)</w:t>
      </w:r>
      <w:r w:rsidRPr="009F5829">
        <w:rPr>
          <w:rFonts w:cstheme="minorHAnsi"/>
          <w:lang w:val="es-ES"/>
        </w:rPr>
        <w:t>.</w:t>
      </w:r>
    </w:p>
    <w:p w14:paraId="499408CA" w14:textId="77777777" w:rsidR="00F24A2B" w:rsidRPr="009F5829" w:rsidRDefault="00F24A2B" w:rsidP="009F5829">
      <w:pPr>
        <w:rPr>
          <w:lang w:val="es-ES"/>
        </w:rPr>
      </w:pPr>
    </w:p>
    <w:tbl>
      <w:tblPr>
        <w:tblStyle w:val="Tablaconcuadrcula"/>
        <w:tblW w:w="0" w:type="auto"/>
        <w:tblLook w:val="04A0" w:firstRow="1" w:lastRow="0" w:firstColumn="1" w:lastColumn="0" w:noHBand="0" w:noVBand="1"/>
      </w:tblPr>
      <w:tblGrid>
        <w:gridCol w:w="7508"/>
        <w:gridCol w:w="986"/>
      </w:tblGrid>
      <w:tr w:rsidR="009F5829" w14:paraId="5B7DF18B" w14:textId="77777777" w:rsidTr="000B07DE">
        <w:tc>
          <w:tcPr>
            <w:tcW w:w="7508" w:type="dxa"/>
            <w:vAlign w:val="center"/>
          </w:tcPr>
          <w:p w14:paraId="7A57179B" w14:textId="30F1A83F" w:rsidR="009F5829" w:rsidRDefault="00597CA7" w:rsidP="000B07DE">
            <w:pPr>
              <w:pStyle w:val="Ecuacin"/>
            </w:pPr>
            <m:oMathPara>
              <m:oMath>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COOH+</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↔CC</m:t>
                </m:r>
                <m:sSub>
                  <m:sSubPr>
                    <m:ctrlPr>
                      <w:rPr>
                        <w:rFonts w:ascii="Cambria Math" w:hAnsi="Cambria Math"/>
                        <w:i/>
                      </w:rPr>
                    </m:ctrlPr>
                  </m:sSubPr>
                  <m:e>
                    <m:r>
                      <w:rPr>
                        <w:rFonts w:ascii="Cambria Math" w:hAnsi="Cambria Math"/>
                      </w:rPr>
                      <m:t>H</m:t>
                    </m:r>
                  </m:e>
                  <m:sub>
                    <m:r>
                      <w:rPr>
                        <w:rFonts w:ascii="Cambria Math" w:hAnsi="Cambria Math"/>
                      </w:rPr>
                      <m:t>3</m:t>
                    </m:r>
                  </m:sub>
                </m:sSub>
                <m:sSub>
                  <m:sSubPr>
                    <m:ctrlPr>
                      <w:rPr>
                        <w:rFonts w:ascii="Cambria Math" w:hAnsi="Cambria Math"/>
                        <w:i/>
                      </w:rPr>
                    </m:ctrlPr>
                  </m:sSubPr>
                  <m:e>
                    <m:r>
                      <w:rPr>
                        <w:rFonts w:ascii="Cambria Math" w:hAnsi="Cambria Math"/>
                      </w:rPr>
                      <m:t>CO</m:t>
                    </m:r>
                  </m:e>
                  <m:sub>
                    <m:r>
                      <w:rPr>
                        <w:rFonts w:ascii="Cambria Math" w:hAnsi="Cambria Math"/>
                      </w:rPr>
                      <m:t>3</m:t>
                    </m:r>
                  </m:sub>
                </m:sSub>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tc>
        <w:tc>
          <w:tcPr>
            <w:tcW w:w="986" w:type="dxa"/>
            <w:vAlign w:val="center"/>
          </w:tcPr>
          <w:p w14:paraId="7A319715" w14:textId="31B478B5" w:rsidR="009F5829" w:rsidRDefault="009F5829" w:rsidP="000B07DE">
            <w:pPr>
              <w:pStyle w:val="Ecuacin"/>
            </w:pPr>
            <w:bookmarkStart w:id="1" w:name="_Ref135134243"/>
            <w:r>
              <w:t>(</w:t>
            </w:r>
            <w:r>
              <w:fldChar w:fldCharType="begin"/>
            </w:r>
            <w:r>
              <w:instrText xml:space="preserve"> SEQ Ecuación \* ARABIC </w:instrText>
            </w:r>
            <w:r>
              <w:fldChar w:fldCharType="separate"/>
            </w:r>
            <w:r w:rsidR="0014623D">
              <w:rPr>
                <w:noProof/>
              </w:rPr>
              <w:t>1</w:t>
            </w:r>
            <w:r>
              <w:fldChar w:fldCharType="end"/>
            </w:r>
            <w:bookmarkEnd w:id="1"/>
            <w:r>
              <w:t>)</w:t>
            </w:r>
          </w:p>
        </w:tc>
      </w:tr>
    </w:tbl>
    <w:p w14:paraId="26A32584" w14:textId="66DF7CDA" w:rsidR="009F5829" w:rsidRDefault="009F5829" w:rsidP="009F5829">
      <w:pPr>
        <w:rPr>
          <w:rFonts w:cstheme="minorHAnsi"/>
          <w:lang w:val="es-ES"/>
        </w:rPr>
      </w:pPr>
      <w:r w:rsidRPr="009F5829">
        <w:rPr>
          <w:rFonts w:cstheme="minorHAnsi"/>
          <w:lang w:val="es-ES"/>
        </w:rPr>
        <w:t>El ácido acético, actúa como agente expansor induciendo el hinchamiento de la estructura del compuesto facilitando la interacción y el ataque provocado por el agente oxidante, el peróxido de hidrógeno, dado su alto poder oxidante generador de radicales hidroxilos, produciendo la degradación del polímero termoestable.</w:t>
      </w:r>
    </w:p>
    <w:p w14:paraId="26C592C2" w14:textId="666523DA" w:rsidR="00845F60" w:rsidRDefault="001B3CC4" w:rsidP="009F5829">
      <w:pPr>
        <w:rPr>
          <w:rFonts w:cstheme="minorHAnsi"/>
          <w:lang w:val="es-ES"/>
        </w:rPr>
      </w:pPr>
      <w:r>
        <w:rPr>
          <w:rFonts w:cstheme="minorHAnsi"/>
          <w:lang w:val="es-ES"/>
        </w:rPr>
        <w:t>Para evaluar la eficacia del proceso se ha definido el parámetro de descomposición de la resina</w:t>
      </w:r>
      <w:r w:rsidR="00827CE3">
        <w:rPr>
          <w:rFonts w:cstheme="minorHAnsi"/>
          <w:lang w:val="es-ES"/>
        </w:rPr>
        <w:t xml:space="preserve"> (</w:t>
      </w:r>
      <w:proofErr w:type="spellStart"/>
      <w:r w:rsidR="00827CE3">
        <w:rPr>
          <w:rFonts w:cstheme="minorHAnsi"/>
          <w:lang w:val="es-ES"/>
        </w:rPr>
        <w:t>Dr</w:t>
      </w:r>
      <w:proofErr w:type="spellEnd"/>
      <w:r w:rsidR="00827CE3">
        <w:rPr>
          <w:rFonts w:cstheme="minorHAnsi"/>
          <w:lang w:val="es-ES"/>
        </w:rPr>
        <w:t>)</w:t>
      </w:r>
      <w:r w:rsidR="0014623D">
        <w:rPr>
          <w:rFonts w:cstheme="minorHAnsi"/>
          <w:lang w:val="es-ES"/>
        </w:rPr>
        <w:t xml:space="preserve"> que se ha calculado según la ecuación </w:t>
      </w:r>
      <w:r w:rsidR="0014623D">
        <w:rPr>
          <w:rFonts w:cstheme="minorHAnsi"/>
          <w:lang w:val="es-ES"/>
        </w:rPr>
        <w:fldChar w:fldCharType="begin"/>
      </w:r>
      <w:r w:rsidR="0014623D">
        <w:rPr>
          <w:rFonts w:cstheme="minorHAnsi"/>
          <w:lang w:val="es-ES"/>
        </w:rPr>
        <w:instrText xml:space="preserve"> REF _Ref135212401 \h </w:instrText>
      </w:r>
      <w:r w:rsidR="0014623D">
        <w:rPr>
          <w:rFonts w:cstheme="minorHAnsi"/>
          <w:lang w:val="es-ES"/>
        </w:rPr>
      </w:r>
      <w:r w:rsidR="0014623D">
        <w:rPr>
          <w:rFonts w:cstheme="minorHAnsi"/>
          <w:lang w:val="es-ES"/>
        </w:rPr>
        <w:fldChar w:fldCharType="separate"/>
      </w:r>
      <w:r w:rsidR="0014623D" w:rsidRPr="0014623D">
        <w:rPr>
          <w:lang w:val="es-ES"/>
        </w:rPr>
        <w:t>(</w:t>
      </w:r>
      <w:r w:rsidR="0014623D" w:rsidRPr="0014623D">
        <w:rPr>
          <w:noProof/>
          <w:lang w:val="es-ES"/>
        </w:rPr>
        <w:t>2</w:t>
      </w:r>
      <w:r w:rsidR="0014623D">
        <w:rPr>
          <w:rFonts w:cstheme="minorHAnsi"/>
          <w:lang w:val="es-ES"/>
        </w:rPr>
        <w:fldChar w:fldCharType="end"/>
      </w:r>
      <w:r w:rsidR="0014623D">
        <w:rPr>
          <w:rFonts w:cstheme="minorHAnsi"/>
          <w:lang w:val="es-ES"/>
        </w:rPr>
        <w:t>).</w:t>
      </w:r>
    </w:p>
    <w:p w14:paraId="511D543C" w14:textId="77777777" w:rsidR="005D4EEF" w:rsidRDefault="005D4EEF" w:rsidP="009F5829">
      <w:pPr>
        <w:rPr>
          <w:rFonts w:cstheme="minorHAnsi"/>
          <w:lang w:val="es-ES"/>
        </w:rPr>
      </w:pPr>
    </w:p>
    <w:tbl>
      <w:tblPr>
        <w:tblStyle w:val="Tablaconcuadrcula"/>
        <w:tblW w:w="0" w:type="auto"/>
        <w:tblLook w:val="04A0" w:firstRow="1" w:lastRow="0" w:firstColumn="1" w:lastColumn="0" w:noHBand="0" w:noVBand="1"/>
      </w:tblPr>
      <w:tblGrid>
        <w:gridCol w:w="7508"/>
        <w:gridCol w:w="986"/>
      </w:tblGrid>
      <w:tr w:rsidR="0014623D" w14:paraId="39595704" w14:textId="77777777" w:rsidTr="006B4704">
        <w:tc>
          <w:tcPr>
            <w:tcW w:w="7508" w:type="dxa"/>
            <w:vAlign w:val="center"/>
          </w:tcPr>
          <w:p w14:paraId="3CB5CC66" w14:textId="60A80235" w:rsidR="0014623D" w:rsidRDefault="00597CA7" w:rsidP="006B4704">
            <w:pPr>
              <w:pStyle w:val="Ecuacin"/>
            </w:pPr>
            <m:oMathPara>
              <m:oMath>
                <m:sSub>
                  <m:sSubPr>
                    <m:ctrlPr>
                      <w:rPr>
                        <w:rFonts w:ascii="Cambria Math" w:hAnsi="Cambria Math"/>
                        <w:i/>
                      </w:rPr>
                    </m:ctrlPr>
                  </m:sSubPr>
                  <m:e>
                    <m:r>
                      <w:rPr>
                        <w:rFonts w:ascii="Cambria Math" w:hAnsi="Cambria Math"/>
                      </w:rPr>
                      <m:t>D</m:t>
                    </m:r>
                  </m:e>
                  <m:sub>
                    <m:r>
                      <w:rPr>
                        <w:rFonts w:ascii="Cambria Math" w:hAnsi="Cambria Math"/>
                      </w:rPr>
                      <m:t>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num>
                  <m:den>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m</m:t>
                        </m:r>
                      </m:sub>
                    </m:sSub>
                  </m:den>
                </m:f>
                <m:r>
                  <w:rPr>
                    <w:rFonts w:ascii="Cambria Math" w:hAnsi="Cambria Math"/>
                  </w:rPr>
                  <m:t>×100</m:t>
                </m:r>
              </m:oMath>
            </m:oMathPara>
          </w:p>
        </w:tc>
        <w:tc>
          <w:tcPr>
            <w:tcW w:w="986" w:type="dxa"/>
            <w:vAlign w:val="center"/>
          </w:tcPr>
          <w:p w14:paraId="256F493C" w14:textId="593FCF67" w:rsidR="0014623D" w:rsidRDefault="0014623D" w:rsidP="006B4704">
            <w:pPr>
              <w:pStyle w:val="Ecuacin"/>
            </w:pPr>
            <w:bookmarkStart w:id="2" w:name="_Ref135212401"/>
            <w:r>
              <w:t>(</w:t>
            </w:r>
            <w:r>
              <w:fldChar w:fldCharType="begin"/>
            </w:r>
            <w:r>
              <w:instrText xml:space="preserve"> SEQ Ecuación \* ARABIC </w:instrText>
            </w:r>
            <w:r>
              <w:fldChar w:fldCharType="separate"/>
            </w:r>
            <w:r>
              <w:rPr>
                <w:noProof/>
              </w:rPr>
              <w:t>2</w:t>
            </w:r>
            <w:r>
              <w:fldChar w:fldCharType="end"/>
            </w:r>
            <w:bookmarkEnd w:id="2"/>
            <w:r>
              <w:t>)</w:t>
            </w:r>
          </w:p>
        </w:tc>
      </w:tr>
    </w:tbl>
    <w:p w14:paraId="0A3C0C70" w14:textId="77777777" w:rsidR="0014623D" w:rsidRDefault="0014623D" w:rsidP="009F5829">
      <w:pPr>
        <w:rPr>
          <w:rFonts w:cstheme="minorHAnsi"/>
          <w:lang w:val="es-ES"/>
        </w:rPr>
      </w:pPr>
    </w:p>
    <w:p w14:paraId="7B92F733" w14:textId="0C268609" w:rsidR="00827CE3" w:rsidRDefault="00827CE3" w:rsidP="009F5829">
      <w:pPr>
        <w:rPr>
          <w:rFonts w:cstheme="minorHAnsi"/>
          <w:lang w:val="es-ES"/>
        </w:rPr>
      </w:pPr>
      <w:r>
        <w:rPr>
          <w:rFonts w:cstheme="minorHAnsi"/>
          <w:lang w:val="es-ES"/>
        </w:rPr>
        <w:t>Donde m</w:t>
      </w:r>
      <w:r w:rsidRPr="00FA77FF">
        <w:rPr>
          <w:rFonts w:cstheme="minorHAnsi"/>
          <w:vertAlign w:val="subscript"/>
          <w:lang w:val="es-ES"/>
        </w:rPr>
        <w:t>1</w:t>
      </w:r>
      <w:r>
        <w:rPr>
          <w:rFonts w:cstheme="minorHAnsi"/>
          <w:lang w:val="es-ES"/>
        </w:rPr>
        <w:t xml:space="preserve"> es la masa de la muestr</w:t>
      </w:r>
      <w:r w:rsidR="0014623D">
        <w:rPr>
          <w:rFonts w:cstheme="minorHAnsi"/>
          <w:lang w:val="es-ES"/>
        </w:rPr>
        <w:t>a inicial</w:t>
      </w:r>
      <w:r>
        <w:rPr>
          <w:rFonts w:cstheme="minorHAnsi"/>
          <w:lang w:val="es-ES"/>
        </w:rPr>
        <w:t>, m</w:t>
      </w:r>
      <w:r w:rsidRPr="00FA77FF">
        <w:rPr>
          <w:rFonts w:cstheme="minorHAnsi"/>
          <w:vertAlign w:val="subscript"/>
          <w:lang w:val="es-ES"/>
        </w:rPr>
        <w:t>2</w:t>
      </w:r>
      <w:r>
        <w:rPr>
          <w:rFonts w:cstheme="minorHAnsi"/>
          <w:lang w:val="es-ES"/>
        </w:rPr>
        <w:t xml:space="preserve"> es la masa de la muestra seca después del tratamiento y </w:t>
      </w:r>
      <w:proofErr w:type="spellStart"/>
      <w:r>
        <w:rPr>
          <w:rFonts w:cstheme="minorHAnsi"/>
          <w:lang w:val="es-ES"/>
        </w:rPr>
        <w:t>W</w:t>
      </w:r>
      <w:r w:rsidRPr="00FA77FF">
        <w:rPr>
          <w:rFonts w:cstheme="minorHAnsi"/>
          <w:vertAlign w:val="subscript"/>
          <w:lang w:val="es-ES"/>
        </w:rPr>
        <w:t>m</w:t>
      </w:r>
      <w:proofErr w:type="spellEnd"/>
      <w:r>
        <w:rPr>
          <w:rFonts w:cstheme="minorHAnsi"/>
          <w:lang w:val="es-ES"/>
        </w:rPr>
        <w:t xml:space="preserve"> es la fracción másica de la resina en la muestra inicial.</w:t>
      </w:r>
    </w:p>
    <w:p w14:paraId="222C0C56" w14:textId="7D2919C7" w:rsidR="006A3A33" w:rsidRDefault="009F5829" w:rsidP="006A3A33">
      <w:pPr>
        <w:rPr>
          <w:lang w:val="es-ES"/>
        </w:rPr>
      </w:pPr>
      <w:r w:rsidRPr="009F5829">
        <w:rPr>
          <w:rFonts w:cstheme="minorHAnsi"/>
          <w:lang w:val="es-ES"/>
        </w:rPr>
        <w:lastRenderedPageBreak/>
        <w:t>Posteriormente, se realiza una filtración para la separación y recuperación de las fibras liberadas presentes en el producto líquido de reacción</w:t>
      </w:r>
      <w:r>
        <w:rPr>
          <w:rFonts w:cstheme="minorHAnsi"/>
          <w:lang w:val="es-ES"/>
        </w:rPr>
        <w:t>.</w:t>
      </w:r>
      <w:r w:rsidR="00D52BC6">
        <w:rPr>
          <w:lang w:val="es-ES"/>
        </w:rPr>
        <w:t xml:space="preserve"> Las fibras recuperadas se</w:t>
      </w:r>
      <w:r w:rsidR="00684223">
        <w:rPr>
          <w:lang w:val="es-ES"/>
        </w:rPr>
        <w:t xml:space="preserve"> lavan</w:t>
      </w:r>
      <w:r w:rsidR="00D52BC6">
        <w:rPr>
          <w:lang w:val="es-ES"/>
        </w:rPr>
        <w:t xml:space="preserve"> mientras que el filtrado se </w:t>
      </w:r>
      <w:r w:rsidR="00684223">
        <w:rPr>
          <w:lang w:val="es-ES"/>
        </w:rPr>
        <w:t>destila</w:t>
      </w:r>
      <w:r w:rsidR="00D52BC6">
        <w:rPr>
          <w:lang w:val="es-ES"/>
        </w:rPr>
        <w:t xml:space="preserve"> para la recuperación de la fracción orgánica.</w:t>
      </w:r>
    </w:p>
    <w:p w14:paraId="574B04CF" w14:textId="5C6C914E" w:rsidR="00D65970" w:rsidRPr="00684223" w:rsidRDefault="001B3CC4" w:rsidP="006A3A33">
      <w:pPr>
        <w:rPr>
          <w:rFonts w:cstheme="minorHAnsi"/>
          <w:lang w:val="es-ES"/>
        </w:rPr>
      </w:pPr>
      <w:r>
        <w:rPr>
          <w:lang w:val="es-ES"/>
        </w:rPr>
        <w:t>Con el fin de</w:t>
      </w:r>
      <w:r w:rsidR="00D65970">
        <w:rPr>
          <w:lang w:val="es-ES"/>
        </w:rPr>
        <w:t xml:space="preserve"> evaluar las fibras recuperadas se ha realizado un análisis SEM mediante </w:t>
      </w:r>
      <w:r w:rsidR="00D65970" w:rsidRPr="006A3A33">
        <w:rPr>
          <w:lang w:val="es-ES"/>
        </w:rPr>
        <w:t xml:space="preserve">un microscopio electrónico de barrido de la casa ZEISS (modelo EVO50) con un detector de rayos X acoplado de la marca OXFORD. El microscopio dispone de un detector de electrones secundarios (SE) y de un detector de electrones </w:t>
      </w:r>
      <w:proofErr w:type="spellStart"/>
      <w:r w:rsidR="00D65970" w:rsidRPr="006A3A33">
        <w:rPr>
          <w:lang w:val="es-ES"/>
        </w:rPr>
        <w:t>retrodispersados</w:t>
      </w:r>
      <w:proofErr w:type="spellEnd"/>
      <w:r w:rsidR="00D65970" w:rsidRPr="006A3A33">
        <w:rPr>
          <w:lang w:val="es-ES"/>
        </w:rPr>
        <w:t xml:space="preserve"> (BSD). </w:t>
      </w:r>
    </w:p>
    <w:p w14:paraId="40D4241A" w14:textId="472F5C1F" w:rsidR="00C65007" w:rsidRDefault="00D52BC6" w:rsidP="00C65007">
      <w:pPr>
        <w:pStyle w:val="Ttulo1"/>
      </w:pPr>
      <w:r>
        <w:t>Resultados</w:t>
      </w:r>
      <w:r w:rsidR="009266C5">
        <w:t xml:space="preserve"> y discusión</w:t>
      </w:r>
    </w:p>
    <w:p w14:paraId="2579CAD2" w14:textId="47F821C1" w:rsidR="00C65007" w:rsidRPr="00C65007" w:rsidRDefault="006F5DE3" w:rsidP="00C65007">
      <w:pPr>
        <w:rPr>
          <w:lang w:val="es-ES"/>
        </w:rPr>
      </w:pPr>
      <w:r>
        <w:rPr>
          <w:lang w:val="es-ES"/>
        </w:rPr>
        <w:t>En este apartado</w:t>
      </w:r>
      <w:r w:rsidR="003E4EA4" w:rsidRPr="003E4EA4">
        <w:rPr>
          <w:lang w:val="es-ES"/>
        </w:rPr>
        <w:t xml:space="preserve">, se presentan los </w:t>
      </w:r>
      <w:r w:rsidR="003E4EA4">
        <w:rPr>
          <w:lang w:val="es-ES"/>
        </w:rPr>
        <w:t>resultados</w:t>
      </w:r>
      <w:r w:rsidR="003E4EA4" w:rsidRPr="003E4EA4">
        <w:rPr>
          <w:lang w:val="es-ES"/>
        </w:rPr>
        <w:t xml:space="preserve"> obtenidos </w:t>
      </w:r>
      <w:r>
        <w:rPr>
          <w:lang w:val="es-ES"/>
        </w:rPr>
        <w:t>en el estudio del proceso de</w:t>
      </w:r>
      <w:r w:rsidR="003E4EA4">
        <w:rPr>
          <w:lang w:val="es-ES"/>
        </w:rPr>
        <w:t xml:space="preserve"> solvólisis </w:t>
      </w:r>
      <w:r w:rsidR="003E4EA4" w:rsidRPr="003E4EA4">
        <w:rPr>
          <w:lang w:val="es-ES"/>
        </w:rPr>
        <w:t xml:space="preserve">de composites reforzados con fibras de carbono. Se </w:t>
      </w:r>
      <w:r w:rsidR="003E4EA4">
        <w:rPr>
          <w:lang w:val="es-ES"/>
        </w:rPr>
        <w:t>han llevado</w:t>
      </w:r>
      <w:r w:rsidR="003E4EA4" w:rsidRPr="003E4EA4">
        <w:rPr>
          <w:lang w:val="es-ES"/>
        </w:rPr>
        <w:t xml:space="preserve"> a cabo diversos experimentos </w:t>
      </w:r>
      <w:r w:rsidR="003E4EA4">
        <w:rPr>
          <w:lang w:val="es-ES"/>
        </w:rPr>
        <w:t xml:space="preserve">a </w:t>
      </w:r>
      <w:r>
        <w:rPr>
          <w:lang w:val="es-ES"/>
        </w:rPr>
        <w:t xml:space="preserve">un material </w:t>
      </w:r>
      <w:r w:rsidR="003E4EA4">
        <w:rPr>
          <w:lang w:val="es-ES"/>
        </w:rPr>
        <w:t xml:space="preserve">de referencia </w:t>
      </w:r>
      <w:r>
        <w:rPr>
          <w:lang w:val="es-ES"/>
        </w:rPr>
        <w:t>para definir</w:t>
      </w:r>
      <w:r w:rsidR="003E4EA4">
        <w:rPr>
          <w:lang w:val="es-ES"/>
        </w:rPr>
        <w:t xml:space="preserve"> las condiciones de reacción</w:t>
      </w:r>
      <w:r w:rsidR="0004660C">
        <w:rPr>
          <w:lang w:val="es-ES"/>
        </w:rPr>
        <w:t xml:space="preserve"> óptimas</w:t>
      </w:r>
      <w:r>
        <w:rPr>
          <w:lang w:val="es-ES"/>
        </w:rPr>
        <w:t xml:space="preserve"> y, una vez </w:t>
      </w:r>
      <w:r w:rsidR="003E4EA4">
        <w:rPr>
          <w:lang w:val="es-ES"/>
        </w:rPr>
        <w:t>establecidas</w:t>
      </w:r>
      <w:r>
        <w:rPr>
          <w:lang w:val="es-ES"/>
        </w:rPr>
        <w:t>,</w:t>
      </w:r>
      <w:r w:rsidR="003E4EA4">
        <w:rPr>
          <w:lang w:val="es-ES"/>
        </w:rPr>
        <w:t xml:space="preserve"> se han </w:t>
      </w:r>
      <w:r>
        <w:rPr>
          <w:lang w:val="es-ES"/>
        </w:rPr>
        <w:t>validado</w:t>
      </w:r>
      <w:r w:rsidR="003E4EA4">
        <w:rPr>
          <w:lang w:val="es-ES"/>
        </w:rPr>
        <w:t xml:space="preserve"> con un residuo </w:t>
      </w:r>
      <w:r w:rsidR="005D4EEF">
        <w:rPr>
          <w:lang w:val="es-ES"/>
        </w:rPr>
        <w:t xml:space="preserve">no curado </w:t>
      </w:r>
      <w:r w:rsidR="003E4EA4">
        <w:rPr>
          <w:lang w:val="es-ES"/>
        </w:rPr>
        <w:t>procedente de aeronáutica.</w:t>
      </w:r>
      <w:r w:rsidR="003E4EA4" w:rsidRPr="003E4EA4">
        <w:rPr>
          <w:lang w:val="es-ES"/>
        </w:rPr>
        <w:t xml:space="preserve"> A continuación, se detallan los resultados clave obtenidos en términos de separación de la matriz polimérica y recuperación de las fibras de carbono, así como la calidad de las fibras recicladas</w:t>
      </w:r>
      <w:r w:rsidR="002A64C5">
        <w:rPr>
          <w:lang w:val="es-ES"/>
        </w:rPr>
        <w:t xml:space="preserve"> y la naturaleza de la fracción orgánica recuperada.</w:t>
      </w:r>
    </w:p>
    <w:p w14:paraId="4C6697CE" w14:textId="08E4A9A3" w:rsidR="00710DC1" w:rsidRDefault="00D044E8" w:rsidP="00710DC1">
      <w:pPr>
        <w:pStyle w:val="Ttulo2"/>
      </w:pPr>
      <w:r>
        <w:t>Efecto de las condiciones de reacción</w:t>
      </w:r>
    </w:p>
    <w:p w14:paraId="74A2CA05" w14:textId="3AA331B5" w:rsidR="0010601B" w:rsidRDefault="00845F60" w:rsidP="0010601B">
      <w:pPr>
        <w:rPr>
          <w:lang w:val="es-ES"/>
        </w:rPr>
      </w:pPr>
      <w:r>
        <w:rPr>
          <w:lang w:val="es-ES"/>
        </w:rPr>
        <w:t>En primer lugar, se ha estudiado el efecto de la temperatura</w:t>
      </w:r>
      <w:r w:rsidR="009612C0">
        <w:rPr>
          <w:lang w:val="es-ES"/>
        </w:rPr>
        <w:t xml:space="preserve"> trabajando con muy pequeña cantidad de muestra y </w:t>
      </w:r>
      <w:r>
        <w:rPr>
          <w:lang w:val="es-ES"/>
        </w:rPr>
        <w:t xml:space="preserve">seleccionado diferentes temperaturas (65°C, 85°C y 100°C). Los resultados </w:t>
      </w:r>
      <w:r w:rsidR="00BE22BD">
        <w:rPr>
          <w:lang w:val="es-ES"/>
        </w:rPr>
        <w:t xml:space="preserve">obtenidos </w:t>
      </w:r>
      <w:r>
        <w:rPr>
          <w:lang w:val="es-ES"/>
        </w:rPr>
        <w:t>de estos ensayos se muestran en la</w:t>
      </w:r>
      <w:r w:rsidR="00AA60B4">
        <w:rPr>
          <w:lang w:val="es-ES"/>
        </w:rPr>
        <w:t xml:space="preserve"> </w:t>
      </w:r>
      <w:r w:rsidR="00834C44">
        <w:rPr>
          <w:lang w:val="es-ES"/>
        </w:rPr>
        <w:t>Tabla 1</w:t>
      </w:r>
      <w:r w:rsidR="0010601B">
        <w:rPr>
          <w:lang w:val="es-ES"/>
        </w:rPr>
        <w:t xml:space="preserve">. </w:t>
      </w:r>
    </w:p>
    <w:p w14:paraId="641C8572" w14:textId="77777777" w:rsidR="00845F60" w:rsidRDefault="00845F60" w:rsidP="0010601B">
      <w:pPr>
        <w:rPr>
          <w:lang w:val="es-ES"/>
        </w:rPr>
      </w:pPr>
    </w:p>
    <w:tbl>
      <w:tblPr>
        <w:tblStyle w:val="Tablaconcuadrcula"/>
        <w:tblW w:w="0" w:type="auto"/>
        <w:jc w:val="center"/>
        <w:tblLook w:val="04A0" w:firstRow="1" w:lastRow="0" w:firstColumn="1" w:lastColumn="0" w:noHBand="0" w:noVBand="1"/>
      </w:tblPr>
      <w:tblGrid>
        <w:gridCol w:w="2485"/>
        <w:gridCol w:w="1992"/>
        <w:gridCol w:w="2017"/>
        <w:gridCol w:w="2000"/>
      </w:tblGrid>
      <w:tr w:rsidR="009612C0" w:rsidRPr="009612C0" w14:paraId="614484CB" w14:textId="52262DA5" w:rsidTr="009612C0">
        <w:trPr>
          <w:jc w:val="center"/>
        </w:trPr>
        <w:tc>
          <w:tcPr>
            <w:tcW w:w="2485" w:type="dxa"/>
            <w:shd w:val="clear" w:color="auto" w:fill="D9D9D9" w:themeFill="background1" w:themeFillShade="D9"/>
          </w:tcPr>
          <w:p w14:paraId="7336E349" w14:textId="77777777" w:rsidR="009612C0" w:rsidRPr="00102D85" w:rsidRDefault="009612C0" w:rsidP="000B07DE">
            <w:pPr>
              <w:pStyle w:val="Tabla"/>
              <w:jc w:val="center"/>
            </w:pPr>
            <w:r>
              <w:t>Temperatura (°C)</w:t>
            </w:r>
          </w:p>
        </w:tc>
        <w:tc>
          <w:tcPr>
            <w:tcW w:w="1992" w:type="dxa"/>
            <w:shd w:val="clear" w:color="auto" w:fill="D9D9D9" w:themeFill="background1" w:themeFillShade="D9"/>
          </w:tcPr>
          <w:p w14:paraId="1BBA4CAD" w14:textId="77777777" w:rsidR="009612C0" w:rsidRPr="00102D85" w:rsidRDefault="009612C0" w:rsidP="000B07DE">
            <w:pPr>
              <w:pStyle w:val="Tabla"/>
              <w:jc w:val="center"/>
            </w:pPr>
            <w:r>
              <w:t>Tiempo (h)</w:t>
            </w:r>
          </w:p>
        </w:tc>
        <w:tc>
          <w:tcPr>
            <w:tcW w:w="2017" w:type="dxa"/>
            <w:shd w:val="clear" w:color="auto" w:fill="D9D9D9" w:themeFill="background1" w:themeFillShade="D9"/>
          </w:tcPr>
          <w:p w14:paraId="551C44B7" w14:textId="1E2DAE9E" w:rsidR="009612C0" w:rsidRPr="009612C0" w:rsidRDefault="009612C0" w:rsidP="006F5DE3">
            <w:pPr>
              <w:pStyle w:val="Tabla"/>
              <w:jc w:val="center"/>
              <w:rPr>
                <w:lang w:val="en-GB"/>
              </w:rPr>
            </w:pPr>
            <w:r w:rsidRPr="009612C0">
              <w:rPr>
                <w:lang w:val="en-GB"/>
              </w:rPr>
              <w:t>Ratio L/S (ml/g)</w:t>
            </w:r>
          </w:p>
        </w:tc>
        <w:tc>
          <w:tcPr>
            <w:tcW w:w="2000" w:type="dxa"/>
            <w:shd w:val="clear" w:color="auto" w:fill="D9D9D9" w:themeFill="background1" w:themeFillShade="D9"/>
          </w:tcPr>
          <w:p w14:paraId="1DB2056F" w14:textId="6CDE1E88" w:rsidR="009612C0" w:rsidRPr="009612C0" w:rsidRDefault="009612C0" w:rsidP="006F5DE3">
            <w:pPr>
              <w:pStyle w:val="Tabla"/>
              <w:jc w:val="center"/>
              <w:rPr>
                <w:lang w:val="en-GB"/>
              </w:rPr>
            </w:pPr>
            <w:r>
              <w:rPr>
                <w:lang w:val="en-GB"/>
              </w:rPr>
              <w:t>Dr (%)</w:t>
            </w:r>
          </w:p>
        </w:tc>
      </w:tr>
      <w:tr w:rsidR="009612C0" w:rsidRPr="00102D85" w14:paraId="573A649A" w14:textId="51873BC7" w:rsidTr="009612C0">
        <w:trPr>
          <w:jc w:val="center"/>
        </w:trPr>
        <w:tc>
          <w:tcPr>
            <w:tcW w:w="2485" w:type="dxa"/>
          </w:tcPr>
          <w:p w14:paraId="1CA757EF" w14:textId="77777777" w:rsidR="009612C0" w:rsidRPr="00102D85" w:rsidRDefault="009612C0" w:rsidP="000B07DE">
            <w:pPr>
              <w:pStyle w:val="Tabla"/>
              <w:jc w:val="center"/>
            </w:pPr>
            <w:r>
              <w:t>65</w:t>
            </w:r>
          </w:p>
        </w:tc>
        <w:tc>
          <w:tcPr>
            <w:tcW w:w="1992" w:type="dxa"/>
          </w:tcPr>
          <w:p w14:paraId="5AE52CC9" w14:textId="77777777" w:rsidR="009612C0" w:rsidRPr="00102D85" w:rsidRDefault="009612C0" w:rsidP="000B07DE">
            <w:pPr>
              <w:pStyle w:val="Tabla"/>
              <w:jc w:val="center"/>
            </w:pPr>
            <w:r>
              <w:t>4</w:t>
            </w:r>
          </w:p>
        </w:tc>
        <w:tc>
          <w:tcPr>
            <w:tcW w:w="2017" w:type="dxa"/>
          </w:tcPr>
          <w:p w14:paraId="24F4075E" w14:textId="77777777" w:rsidR="009612C0" w:rsidRPr="00102D85" w:rsidRDefault="009612C0" w:rsidP="000B07DE">
            <w:pPr>
              <w:pStyle w:val="Tabla"/>
              <w:jc w:val="center"/>
            </w:pPr>
            <w:r>
              <w:t>60/1</w:t>
            </w:r>
          </w:p>
        </w:tc>
        <w:tc>
          <w:tcPr>
            <w:tcW w:w="2000" w:type="dxa"/>
          </w:tcPr>
          <w:p w14:paraId="4C0D33EF" w14:textId="2046400B" w:rsidR="009612C0" w:rsidRDefault="009612C0" w:rsidP="000B07DE">
            <w:pPr>
              <w:pStyle w:val="Tabla"/>
              <w:jc w:val="center"/>
            </w:pPr>
            <w:r>
              <w:t>0</w:t>
            </w:r>
          </w:p>
        </w:tc>
      </w:tr>
      <w:tr w:rsidR="009612C0" w:rsidRPr="00102D85" w14:paraId="1D2FEA3F" w14:textId="318E2E38" w:rsidTr="009612C0">
        <w:trPr>
          <w:jc w:val="center"/>
        </w:trPr>
        <w:tc>
          <w:tcPr>
            <w:tcW w:w="2485" w:type="dxa"/>
          </w:tcPr>
          <w:p w14:paraId="763245FA" w14:textId="77777777" w:rsidR="009612C0" w:rsidRPr="00102D85" w:rsidRDefault="009612C0" w:rsidP="000B07DE">
            <w:pPr>
              <w:pStyle w:val="Tabla"/>
              <w:jc w:val="center"/>
            </w:pPr>
            <w:r>
              <w:t>85</w:t>
            </w:r>
          </w:p>
        </w:tc>
        <w:tc>
          <w:tcPr>
            <w:tcW w:w="1992" w:type="dxa"/>
          </w:tcPr>
          <w:p w14:paraId="01B38674" w14:textId="77777777" w:rsidR="009612C0" w:rsidRPr="00102D85" w:rsidRDefault="009612C0" w:rsidP="000B07DE">
            <w:pPr>
              <w:pStyle w:val="Tabla"/>
              <w:jc w:val="center"/>
            </w:pPr>
            <w:r>
              <w:t>4</w:t>
            </w:r>
          </w:p>
        </w:tc>
        <w:tc>
          <w:tcPr>
            <w:tcW w:w="2017" w:type="dxa"/>
          </w:tcPr>
          <w:p w14:paraId="5F39C2B7" w14:textId="77777777" w:rsidR="009612C0" w:rsidRPr="00102D85" w:rsidRDefault="009612C0" w:rsidP="000B07DE">
            <w:pPr>
              <w:pStyle w:val="Tabla"/>
              <w:jc w:val="center"/>
            </w:pPr>
            <w:r>
              <w:t>60/1</w:t>
            </w:r>
          </w:p>
        </w:tc>
        <w:tc>
          <w:tcPr>
            <w:tcW w:w="2000" w:type="dxa"/>
          </w:tcPr>
          <w:p w14:paraId="368FDE61" w14:textId="6F34B08B" w:rsidR="009612C0" w:rsidRDefault="009612C0" w:rsidP="000B07DE">
            <w:pPr>
              <w:pStyle w:val="Tabla"/>
              <w:jc w:val="center"/>
            </w:pPr>
            <w:r>
              <w:t>48,85</w:t>
            </w:r>
          </w:p>
        </w:tc>
      </w:tr>
      <w:tr w:rsidR="009612C0" w:rsidRPr="00102D85" w14:paraId="67F11C91" w14:textId="48530661" w:rsidTr="009612C0">
        <w:trPr>
          <w:jc w:val="center"/>
        </w:trPr>
        <w:tc>
          <w:tcPr>
            <w:tcW w:w="2485" w:type="dxa"/>
          </w:tcPr>
          <w:p w14:paraId="523A338D" w14:textId="77777777" w:rsidR="009612C0" w:rsidRDefault="009612C0" w:rsidP="000B07DE">
            <w:pPr>
              <w:pStyle w:val="Tabla"/>
              <w:jc w:val="center"/>
            </w:pPr>
            <w:r>
              <w:t>100</w:t>
            </w:r>
          </w:p>
        </w:tc>
        <w:tc>
          <w:tcPr>
            <w:tcW w:w="1992" w:type="dxa"/>
          </w:tcPr>
          <w:p w14:paraId="1DD878B3" w14:textId="77777777" w:rsidR="009612C0" w:rsidRDefault="009612C0" w:rsidP="000B07DE">
            <w:pPr>
              <w:pStyle w:val="Tabla"/>
              <w:jc w:val="center"/>
            </w:pPr>
            <w:r>
              <w:t>4</w:t>
            </w:r>
          </w:p>
        </w:tc>
        <w:tc>
          <w:tcPr>
            <w:tcW w:w="2017" w:type="dxa"/>
          </w:tcPr>
          <w:p w14:paraId="149B21A7" w14:textId="77777777" w:rsidR="009612C0" w:rsidRDefault="009612C0" w:rsidP="000B07DE">
            <w:pPr>
              <w:pStyle w:val="Tabla"/>
              <w:jc w:val="center"/>
            </w:pPr>
            <w:r>
              <w:t>60/1</w:t>
            </w:r>
          </w:p>
        </w:tc>
        <w:tc>
          <w:tcPr>
            <w:tcW w:w="2000" w:type="dxa"/>
          </w:tcPr>
          <w:p w14:paraId="34289A98" w14:textId="16CBA30C" w:rsidR="009612C0" w:rsidRDefault="009612C0" w:rsidP="000B07DE">
            <w:pPr>
              <w:pStyle w:val="Tabla"/>
              <w:jc w:val="center"/>
            </w:pPr>
            <w:r>
              <w:t>89,56</w:t>
            </w:r>
          </w:p>
        </w:tc>
      </w:tr>
    </w:tbl>
    <w:p w14:paraId="27E1C4A3" w14:textId="42F28330" w:rsidR="0010601B" w:rsidRDefault="0010601B" w:rsidP="0010601B">
      <w:pPr>
        <w:pStyle w:val="Descripcin"/>
        <w:rPr>
          <w:lang w:val="es-ES"/>
        </w:rPr>
      </w:pPr>
      <w:bookmarkStart w:id="3" w:name="_Ref135233820"/>
      <w:r w:rsidRPr="00710DC1">
        <w:rPr>
          <w:lang w:val="es-ES"/>
        </w:rPr>
        <w:t xml:space="preserve">Tabla </w:t>
      </w:r>
      <w:r>
        <w:fldChar w:fldCharType="begin"/>
      </w:r>
      <w:r w:rsidRPr="00710DC1">
        <w:rPr>
          <w:lang w:val="es-ES"/>
        </w:rPr>
        <w:instrText xml:space="preserve"> SEQ Tabla \* ARABIC </w:instrText>
      </w:r>
      <w:r>
        <w:fldChar w:fldCharType="separate"/>
      </w:r>
      <w:r w:rsidR="00AA60B4">
        <w:rPr>
          <w:noProof/>
          <w:lang w:val="es-ES"/>
        </w:rPr>
        <w:t>1</w:t>
      </w:r>
      <w:r>
        <w:fldChar w:fldCharType="end"/>
      </w:r>
      <w:bookmarkEnd w:id="3"/>
      <w:r w:rsidRPr="00710DC1">
        <w:rPr>
          <w:lang w:val="es-ES"/>
        </w:rPr>
        <w:t xml:space="preserve">. </w:t>
      </w:r>
      <w:r>
        <w:rPr>
          <w:lang w:val="es-ES"/>
        </w:rPr>
        <w:t>Resultados obtenidos para el estudio de temperaturas</w:t>
      </w:r>
    </w:p>
    <w:p w14:paraId="3FF098A9" w14:textId="77777777" w:rsidR="00FC6E9A" w:rsidRDefault="00FC6E9A" w:rsidP="00E543BD">
      <w:pPr>
        <w:rPr>
          <w:lang w:val="es-ES"/>
        </w:rPr>
      </w:pPr>
    </w:p>
    <w:p w14:paraId="7F8DC1F7" w14:textId="27FD56DE" w:rsidR="00E543BD" w:rsidRPr="00E543BD" w:rsidRDefault="00E543BD" w:rsidP="00E543BD">
      <w:pPr>
        <w:rPr>
          <w:lang w:val="es-ES"/>
        </w:rPr>
      </w:pPr>
      <w:r>
        <w:rPr>
          <w:lang w:val="es-ES"/>
        </w:rPr>
        <w:t xml:space="preserve">En la </w:t>
      </w:r>
      <w:r w:rsidR="00834C44">
        <w:rPr>
          <w:lang w:val="es-ES"/>
        </w:rPr>
        <w:t>Figura 3</w:t>
      </w:r>
      <w:r>
        <w:rPr>
          <w:lang w:val="es-ES"/>
        </w:rPr>
        <w:t xml:space="preserve"> se observa que a temperaturas por debajo de 85 °C no se produce la descomposición de la resina y el composite </w:t>
      </w:r>
      <w:r w:rsidR="00D37C25">
        <w:rPr>
          <w:lang w:val="es-ES"/>
        </w:rPr>
        <w:t>se mantiene</w:t>
      </w:r>
      <w:r>
        <w:rPr>
          <w:lang w:val="es-ES"/>
        </w:rPr>
        <w:t xml:space="preserve"> prácticamente</w:t>
      </w:r>
      <w:r w:rsidR="00D37C25">
        <w:rPr>
          <w:lang w:val="es-ES"/>
        </w:rPr>
        <w:t xml:space="preserve"> inalterado.</w:t>
      </w:r>
      <w:r>
        <w:rPr>
          <w:lang w:val="es-ES"/>
        </w:rPr>
        <w:t xml:space="preserve"> </w:t>
      </w:r>
      <w:r w:rsidR="00F04381">
        <w:rPr>
          <w:lang w:val="es-ES"/>
        </w:rPr>
        <w:t>Cuando la reacción se lleva a cabo a</w:t>
      </w:r>
      <w:r w:rsidR="00D37C25">
        <w:rPr>
          <w:lang w:val="es-ES"/>
        </w:rPr>
        <w:t xml:space="preserve"> una temperatura de 100</w:t>
      </w:r>
      <w:r w:rsidR="00834C44">
        <w:rPr>
          <w:lang w:val="es-ES"/>
        </w:rPr>
        <w:t xml:space="preserve"> </w:t>
      </w:r>
      <w:r>
        <w:rPr>
          <w:lang w:val="es-ES"/>
        </w:rPr>
        <w:t xml:space="preserve">°C </w:t>
      </w:r>
      <w:r w:rsidR="00D37C25">
        <w:rPr>
          <w:lang w:val="es-ES"/>
        </w:rPr>
        <w:t>se observa una descomposición de la resina, obteniendo fibras sueltas</w:t>
      </w:r>
      <w:r w:rsidR="00F04381">
        <w:rPr>
          <w:lang w:val="es-ES"/>
        </w:rPr>
        <w:t xml:space="preserve"> y libres de resina</w:t>
      </w:r>
      <w:r w:rsidR="00D37C25">
        <w:rPr>
          <w:lang w:val="es-ES"/>
        </w:rPr>
        <w:t>.</w:t>
      </w:r>
      <w:r>
        <w:rPr>
          <w:lang w:val="es-ES"/>
        </w:rPr>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8"/>
        <w:gridCol w:w="2833"/>
        <w:gridCol w:w="2903"/>
      </w:tblGrid>
      <w:tr w:rsidR="002E3826" w14:paraId="024D9FAD" w14:textId="77777777" w:rsidTr="002E3826">
        <w:trPr>
          <w:jc w:val="center"/>
        </w:trPr>
        <w:tc>
          <w:tcPr>
            <w:tcW w:w="2788" w:type="dxa"/>
          </w:tcPr>
          <w:p w14:paraId="63A982DB" w14:textId="2D8B1CF1" w:rsidR="002E3826" w:rsidRPr="002E3826" w:rsidRDefault="002E3826" w:rsidP="002E3826">
            <w:pPr>
              <w:keepNext/>
            </w:pPr>
            <w:r w:rsidRPr="002E3826">
              <w:rPr>
                <w:noProof/>
              </w:rPr>
              <w:lastRenderedPageBreak/>
              <w:drawing>
                <wp:inline distT="0" distB="0" distL="0" distR="0" wp14:anchorId="222C0A0F" wp14:editId="4CE21B4C">
                  <wp:extent cx="1802953" cy="2138400"/>
                  <wp:effectExtent l="0" t="0" r="6985" b="0"/>
                  <wp:docPr id="21" name="Imagen 20">
                    <a:extLst xmlns:a="http://schemas.openxmlformats.org/drawingml/2006/main">
                      <a:ext uri="{FF2B5EF4-FFF2-40B4-BE49-F238E27FC236}">
                        <a16:creationId xmlns:a16="http://schemas.microsoft.com/office/drawing/2014/main" id="{C45E1E03-D60F-957D-4E99-9B43DA5775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a:extLst>
                              <a:ext uri="{FF2B5EF4-FFF2-40B4-BE49-F238E27FC236}">
                                <a16:creationId xmlns:a16="http://schemas.microsoft.com/office/drawing/2014/main" id="{C45E1E03-D60F-957D-4E99-9B43DA57753A}"/>
                              </a:ext>
                            </a:extLst>
                          </pic:cNvPr>
                          <pic:cNvPicPr>
                            <a:picLocks noChangeAspect="1"/>
                          </pic:cNvPicPr>
                        </pic:nvPicPr>
                        <pic:blipFill rotWithShape="1">
                          <a:blip r:embed="rId11"/>
                          <a:srcRect r="5939" b="2139"/>
                          <a:stretch/>
                        </pic:blipFill>
                        <pic:spPr>
                          <a:xfrm>
                            <a:off x="0" y="0"/>
                            <a:ext cx="1802953" cy="2138400"/>
                          </a:xfrm>
                          <a:prstGeom prst="rect">
                            <a:avLst/>
                          </a:prstGeom>
                        </pic:spPr>
                      </pic:pic>
                    </a:graphicData>
                  </a:graphic>
                </wp:inline>
              </w:drawing>
            </w:r>
          </w:p>
        </w:tc>
        <w:tc>
          <w:tcPr>
            <w:tcW w:w="2853" w:type="dxa"/>
          </w:tcPr>
          <w:p w14:paraId="790DE5B2" w14:textId="38405757" w:rsidR="002E3826" w:rsidRPr="002E3826" w:rsidRDefault="002E3826" w:rsidP="002E3826">
            <w:pPr>
              <w:keepNext/>
            </w:pPr>
            <w:r w:rsidRPr="002E3826">
              <w:rPr>
                <w:noProof/>
              </w:rPr>
              <w:drawing>
                <wp:inline distT="0" distB="0" distL="0" distR="0" wp14:anchorId="047838BF" wp14:editId="1325B308">
                  <wp:extent cx="1855819" cy="2138400"/>
                  <wp:effectExtent l="0" t="0" r="0" b="0"/>
                  <wp:docPr id="13" name="Imagen 12">
                    <a:extLst xmlns:a="http://schemas.openxmlformats.org/drawingml/2006/main">
                      <a:ext uri="{FF2B5EF4-FFF2-40B4-BE49-F238E27FC236}">
                        <a16:creationId xmlns:a16="http://schemas.microsoft.com/office/drawing/2014/main" id="{DDB043FC-0C09-C1A9-CDFA-D5EDDEFC8E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DDB043FC-0C09-C1A9-CDFA-D5EDDEFC8E6E}"/>
                              </a:ext>
                            </a:extLst>
                          </pic:cNvPr>
                          <pic:cNvPicPr>
                            <a:picLocks noChangeAspect="1"/>
                          </pic:cNvPicPr>
                        </pic:nvPicPr>
                        <pic:blipFill rotWithShape="1">
                          <a:blip r:embed="rId12"/>
                          <a:srcRect l="4862" t="2848" r="6530"/>
                          <a:stretch/>
                        </pic:blipFill>
                        <pic:spPr>
                          <a:xfrm>
                            <a:off x="0" y="0"/>
                            <a:ext cx="1855819" cy="2138400"/>
                          </a:xfrm>
                          <a:prstGeom prst="rect">
                            <a:avLst/>
                          </a:prstGeom>
                        </pic:spPr>
                      </pic:pic>
                    </a:graphicData>
                  </a:graphic>
                </wp:inline>
              </w:drawing>
            </w:r>
          </w:p>
        </w:tc>
        <w:tc>
          <w:tcPr>
            <w:tcW w:w="2853" w:type="dxa"/>
          </w:tcPr>
          <w:p w14:paraId="2531CB36" w14:textId="1D6B1760" w:rsidR="002E3826" w:rsidRPr="002E3826" w:rsidRDefault="002E3826" w:rsidP="002E3826">
            <w:pPr>
              <w:keepNext/>
            </w:pPr>
            <w:r w:rsidRPr="002E3826">
              <w:rPr>
                <w:noProof/>
              </w:rPr>
              <w:drawing>
                <wp:inline distT="0" distB="0" distL="0" distR="0" wp14:anchorId="7D61EF4F" wp14:editId="298A04B1">
                  <wp:extent cx="1905542" cy="2109216"/>
                  <wp:effectExtent l="0" t="0" r="0" b="5715"/>
                  <wp:docPr id="19" name="Imagen 18">
                    <a:extLst xmlns:a="http://schemas.openxmlformats.org/drawingml/2006/main">
                      <a:ext uri="{FF2B5EF4-FFF2-40B4-BE49-F238E27FC236}">
                        <a16:creationId xmlns:a16="http://schemas.microsoft.com/office/drawing/2014/main" id="{02F72E88-EC29-57E9-1977-C2382CFC07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a:extLst>
                              <a:ext uri="{FF2B5EF4-FFF2-40B4-BE49-F238E27FC236}">
                                <a16:creationId xmlns:a16="http://schemas.microsoft.com/office/drawing/2014/main" id="{02F72E88-EC29-57E9-1977-C2382CFC07C0}"/>
                              </a:ext>
                            </a:extLst>
                          </pic:cNvPr>
                          <pic:cNvPicPr>
                            <a:picLocks noChangeAspect="1"/>
                          </pic:cNvPicPr>
                        </pic:nvPicPr>
                        <pic:blipFill rotWithShape="1">
                          <a:blip r:embed="rId13"/>
                          <a:srcRect l="6561" b="3939"/>
                          <a:stretch/>
                        </pic:blipFill>
                        <pic:spPr>
                          <a:xfrm>
                            <a:off x="0" y="0"/>
                            <a:ext cx="1908206" cy="2112164"/>
                          </a:xfrm>
                          <a:prstGeom prst="rect">
                            <a:avLst/>
                          </a:prstGeom>
                        </pic:spPr>
                      </pic:pic>
                    </a:graphicData>
                  </a:graphic>
                </wp:inline>
              </w:drawing>
            </w:r>
          </w:p>
        </w:tc>
      </w:tr>
    </w:tbl>
    <w:p w14:paraId="4E024160" w14:textId="7528D3CB" w:rsidR="00845F60" w:rsidRPr="002E3826" w:rsidRDefault="002E3826" w:rsidP="002E3826">
      <w:pPr>
        <w:pStyle w:val="Descripcin"/>
        <w:rPr>
          <w:lang w:val="es-ES"/>
        </w:rPr>
      </w:pPr>
      <w:bookmarkStart w:id="4" w:name="_Ref135229364"/>
      <w:r w:rsidRPr="002E3826">
        <w:rPr>
          <w:lang w:val="es-ES"/>
        </w:rPr>
        <w:t xml:space="preserve">Figura </w:t>
      </w:r>
      <w:r>
        <w:fldChar w:fldCharType="begin"/>
      </w:r>
      <w:r w:rsidRPr="002E3826">
        <w:rPr>
          <w:lang w:val="es-ES"/>
        </w:rPr>
        <w:instrText xml:space="preserve"> SEQ Figura \* ARABIC </w:instrText>
      </w:r>
      <w:r>
        <w:fldChar w:fldCharType="separate"/>
      </w:r>
      <w:r w:rsidR="004E27A4">
        <w:rPr>
          <w:noProof/>
          <w:lang w:val="es-ES"/>
        </w:rPr>
        <w:t>3</w:t>
      </w:r>
      <w:r>
        <w:fldChar w:fldCharType="end"/>
      </w:r>
      <w:bookmarkEnd w:id="4"/>
      <w:r w:rsidRPr="002E3826">
        <w:rPr>
          <w:lang w:val="es-ES"/>
        </w:rPr>
        <w:t>. Fibras obtenidas a d</w:t>
      </w:r>
      <w:r>
        <w:rPr>
          <w:lang w:val="es-ES"/>
        </w:rPr>
        <w:t xml:space="preserve">iferentes temperaturas </w:t>
      </w:r>
      <w:r w:rsidR="00115BAD">
        <w:rPr>
          <w:lang w:val="es-ES"/>
        </w:rPr>
        <w:t>a</w:t>
      </w:r>
      <w:r>
        <w:rPr>
          <w:lang w:val="es-ES"/>
        </w:rPr>
        <w:t xml:space="preserve"> 65°C, 85°C y 100°C</w:t>
      </w:r>
      <w:r w:rsidR="00115BAD">
        <w:rPr>
          <w:lang w:val="es-ES"/>
        </w:rPr>
        <w:t xml:space="preserve"> (de izquierda a derecha).</w:t>
      </w:r>
    </w:p>
    <w:p w14:paraId="1B417284" w14:textId="07064A8B" w:rsidR="0010601B" w:rsidRPr="0010601B" w:rsidRDefault="0010601B" w:rsidP="0010601B">
      <w:pPr>
        <w:rPr>
          <w:lang w:val="es-ES"/>
        </w:rPr>
      </w:pPr>
      <w:r w:rsidRPr="00ED0F1A">
        <w:rPr>
          <w:lang w:val="es-ES"/>
        </w:rPr>
        <w:t>Asimismo, se han estudiado diferentes ratios de residuo/disolvente</w:t>
      </w:r>
      <w:r>
        <w:rPr>
          <w:lang w:val="es-ES"/>
        </w:rPr>
        <w:t xml:space="preserve"> </w:t>
      </w:r>
      <w:r w:rsidR="009612C0">
        <w:rPr>
          <w:lang w:val="es-ES"/>
        </w:rPr>
        <w:t xml:space="preserve">(L/S) </w:t>
      </w:r>
      <w:r>
        <w:rPr>
          <w:lang w:val="es-ES"/>
        </w:rPr>
        <w:t xml:space="preserve">con </w:t>
      </w:r>
      <w:r w:rsidR="009612C0">
        <w:rPr>
          <w:lang w:val="es-ES"/>
        </w:rPr>
        <w:t xml:space="preserve">mayor cantidad de muestra con </w:t>
      </w:r>
      <w:r>
        <w:rPr>
          <w:lang w:val="es-ES"/>
        </w:rPr>
        <w:t>el fin de reducir la cantidad de disolvente a emplear</w:t>
      </w:r>
      <w:r w:rsidRPr="00ED0F1A">
        <w:rPr>
          <w:lang w:val="es-ES"/>
        </w:rPr>
        <w:t xml:space="preserve">. </w:t>
      </w:r>
      <w:r>
        <w:rPr>
          <w:lang w:val="es-ES"/>
        </w:rPr>
        <w:t xml:space="preserve">En los ensayos </w:t>
      </w:r>
      <w:r w:rsidR="00F04381">
        <w:rPr>
          <w:lang w:val="es-ES"/>
        </w:rPr>
        <w:t xml:space="preserve">previos </w:t>
      </w:r>
      <w:r>
        <w:rPr>
          <w:lang w:val="es-ES"/>
        </w:rPr>
        <w:t xml:space="preserve">el ratio establecido era de </w:t>
      </w:r>
      <w:r w:rsidRPr="00ED0F1A">
        <w:rPr>
          <w:lang w:val="es-ES"/>
        </w:rPr>
        <w:t>1/60,</w:t>
      </w:r>
      <w:r>
        <w:rPr>
          <w:lang w:val="es-ES"/>
        </w:rPr>
        <w:t xml:space="preserve"> por lo que para este estudio se han definido ratios de</w:t>
      </w:r>
      <w:r w:rsidRPr="00ED0F1A">
        <w:rPr>
          <w:lang w:val="es-ES"/>
        </w:rPr>
        <w:t xml:space="preserve"> 1/50 y 1/40</w:t>
      </w:r>
      <w:r>
        <w:rPr>
          <w:lang w:val="es-ES"/>
        </w:rPr>
        <w:t>. Los resultados</w:t>
      </w:r>
      <w:r w:rsidR="009612C0">
        <w:rPr>
          <w:lang w:val="es-ES"/>
        </w:rPr>
        <w:t xml:space="preserve"> iniciales</w:t>
      </w:r>
      <w:r>
        <w:rPr>
          <w:lang w:val="es-ES"/>
        </w:rPr>
        <w:t xml:space="preserve"> obtenidos (ver</w:t>
      </w:r>
      <w:r w:rsidR="00834C44">
        <w:rPr>
          <w:lang w:val="es-ES"/>
        </w:rPr>
        <w:t xml:space="preserve"> Tabla 2</w:t>
      </w:r>
      <w:r>
        <w:rPr>
          <w:lang w:val="es-ES"/>
        </w:rPr>
        <w:t>) confirman que el grado de descomposición de resina (</w:t>
      </w:r>
      <w:proofErr w:type="spellStart"/>
      <w:r>
        <w:rPr>
          <w:lang w:val="es-ES"/>
        </w:rPr>
        <w:t>Dr</w:t>
      </w:r>
      <w:proofErr w:type="spellEnd"/>
      <w:r>
        <w:rPr>
          <w:lang w:val="es-ES"/>
        </w:rPr>
        <w:t xml:space="preserve">) es similar para ratio 60/1 y 50/1. Por el contrario, al emplear ratio de 1/40 el contacto </w:t>
      </w:r>
      <w:r w:rsidRPr="0010601B">
        <w:rPr>
          <w:lang w:val="es-ES"/>
        </w:rPr>
        <w:t>del residuo con el disolvente no es suficiente por lo que no se recomienda disminuir hasta esos valores el volumen.</w:t>
      </w:r>
    </w:p>
    <w:p w14:paraId="38D2E880" w14:textId="77777777" w:rsidR="0010601B" w:rsidRDefault="0010601B" w:rsidP="0010601B">
      <w:pPr>
        <w:rPr>
          <w:lang w:val="es-ES"/>
        </w:rPr>
      </w:pPr>
    </w:p>
    <w:tbl>
      <w:tblPr>
        <w:tblStyle w:val="Tablaconcuadrcula"/>
        <w:tblW w:w="0" w:type="auto"/>
        <w:jc w:val="center"/>
        <w:tblLook w:val="04A0" w:firstRow="1" w:lastRow="0" w:firstColumn="1" w:lastColumn="0" w:noHBand="0" w:noVBand="1"/>
      </w:tblPr>
      <w:tblGrid>
        <w:gridCol w:w="2522"/>
        <w:gridCol w:w="2028"/>
        <w:gridCol w:w="2058"/>
        <w:gridCol w:w="1886"/>
      </w:tblGrid>
      <w:tr w:rsidR="0010601B" w:rsidRPr="00957925" w14:paraId="503BDB01" w14:textId="77777777" w:rsidTr="000B07DE">
        <w:trPr>
          <w:jc w:val="center"/>
        </w:trPr>
        <w:tc>
          <w:tcPr>
            <w:tcW w:w="2522" w:type="dxa"/>
            <w:shd w:val="clear" w:color="auto" w:fill="D9D9D9" w:themeFill="background1" w:themeFillShade="D9"/>
          </w:tcPr>
          <w:p w14:paraId="0E2E5955" w14:textId="77777777" w:rsidR="0010601B" w:rsidRPr="00102D85" w:rsidRDefault="0010601B" w:rsidP="000B07DE">
            <w:pPr>
              <w:pStyle w:val="Tabla"/>
              <w:jc w:val="center"/>
            </w:pPr>
            <w:r>
              <w:t>Temperatura (°C)</w:t>
            </w:r>
          </w:p>
        </w:tc>
        <w:tc>
          <w:tcPr>
            <w:tcW w:w="2028" w:type="dxa"/>
            <w:shd w:val="clear" w:color="auto" w:fill="D9D9D9" w:themeFill="background1" w:themeFillShade="D9"/>
          </w:tcPr>
          <w:p w14:paraId="2325DBC3" w14:textId="77777777" w:rsidR="0010601B" w:rsidRPr="00102D85" w:rsidRDefault="0010601B" w:rsidP="000B07DE">
            <w:pPr>
              <w:pStyle w:val="Tabla"/>
              <w:jc w:val="center"/>
            </w:pPr>
            <w:r>
              <w:t>Tiempo (h)</w:t>
            </w:r>
          </w:p>
        </w:tc>
        <w:tc>
          <w:tcPr>
            <w:tcW w:w="2058" w:type="dxa"/>
            <w:shd w:val="clear" w:color="auto" w:fill="D9D9D9" w:themeFill="background1" w:themeFillShade="D9"/>
          </w:tcPr>
          <w:p w14:paraId="7E6C7F0F" w14:textId="2D6B4C5B" w:rsidR="0010601B" w:rsidRPr="009612C0" w:rsidRDefault="006F5DE3" w:rsidP="000B07DE">
            <w:pPr>
              <w:pStyle w:val="Tabla"/>
              <w:jc w:val="center"/>
              <w:rPr>
                <w:lang w:val="en-GB"/>
              </w:rPr>
            </w:pPr>
            <w:r w:rsidRPr="009612C0">
              <w:rPr>
                <w:lang w:val="en-GB"/>
              </w:rPr>
              <w:t xml:space="preserve">Ratio </w:t>
            </w:r>
            <w:r w:rsidR="009612C0" w:rsidRPr="009612C0">
              <w:rPr>
                <w:lang w:val="en-GB"/>
              </w:rPr>
              <w:t xml:space="preserve">L/S </w:t>
            </w:r>
            <w:r w:rsidRPr="009612C0">
              <w:rPr>
                <w:lang w:val="en-GB"/>
              </w:rPr>
              <w:t>(ml/g)</w:t>
            </w:r>
          </w:p>
        </w:tc>
        <w:tc>
          <w:tcPr>
            <w:tcW w:w="1886" w:type="dxa"/>
            <w:shd w:val="clear" w:color="auto" w:fill="D9D9D9" w:themeFill="background1" w:themeFillShade="D9"/>
          </w:tcPr>
          <w:p w14:paraId="23535DA2" w14:textId="77777777" w:rsidR="0010601B" w:rsidRDefault="0010601B" w:rsidP="000B07DE">
            <w:pPr>
              <w:pStyle w:val="Tabla"/>
              <w:jc w:val="center"/>
            </w:pPr>
            <w:proofErr w:type="spellStart"/>
            <w:r>
              <w:t>Dr</w:t>
            </w:r>
            <w:proofErr w:type="spellEnd"/>
            <w:r>
              <w:t xml:space="preserve"> (%)</w:t>
            </w:r>
          </w:p>
        </w:tc>
      </w:tr>
      <w:tr w:rsidR="0010601B" w:rsidRPr="00102D85" w14:paraId="7D741034" w14:textId="77777777" w:rsidTr="000B07DE">
        <w:trPr>
          <w:jc w:val="center"/>
        </w:trPr>
        <w:tc>
          <w:tcPr>
            <w:tcW w:w="2522" w:type="dxa"/>
          </w:tcPr>
          <w:p w14:paraId="234D9653" w14:textId="77777777" w:rsidR="0010601B" w:rsidRPr="00102D85" w:rsidRDefault="0010601B" w:rsidP="000B07DE">
            <w:pPr>
              <w:pStyle w:val="Tabla"/>
              <w:jc w:val="center"/>
            </w:pPr>
            <w:r>
              <w:t>100</w:t>
            </w:r>
          </w:p>
        </w:tc>
        <w:tc>
          <w:tcPr>
            <w:tcW w:w="2028" w:type="dxa"/>
          </w:tcPr>
          <w:p w14:paraId="728CA346" w14:textId="77777777" w:rsidR="0010601B" w:rsidRPr="00102D85" w:rsidRDefault="0010601B" w:rsidP="000B07DE">
            <w:pPr>
              <w:pStyle w:val="Tabla"/>
              <w:jc w:val="center"/>
            </w:pPr>
            <w:r>
              <w:t>4</w:t>
            </w:r>
          </w:p>
        </w:tc>
        <w:tc>
          <w:tcPr>
            <w:tcW w:w="2058" w:type="dxa"/>
          </w:tcPr>
          <w:p w14:paraId="1860AC51" w14:textId="77777777" w:rsidR="0010601B" w:rsidRPr="00102D85" w:rsidRDefault="0010601B" w:rsidP="000B07DE">
            <w:pPr>
              <w:pStyle w:val="Tabla"/>
              <w:jc w:val="center"/>
            </w:pPr>
            <w:r>
              <w:t>60/1</w:t>
            </w:r>
          </w:p>
        </w:tc>
        <w:tc>
          <w:tcPr>
            <w:tcW w:w="1886" w:type="dxa"/>
          </w:tcPr>
          <w:p w14:paraId="4FBF6AE1" w14:textId="77777777" w:rsidR="0010601B" w:rsidRPr="00102D85" w:rsidRDefault="0010601B" w:rsidP="000B07DE">
            <w:pPr>
              <w:pStyle w:val="Tabla"/>
              <w:jc w:val="center"/>
            </w:pPr>
            <w:r>
              <w:t>76,9</w:t>
            </w:r>
          </w:p>
        </w:tc>
      </w:tr>
      <w:tr w:rsidR="0010601B" w:rsidRPr="00102D85" w14:paraId="6C1D5281" w14:textId="77777777" w:rsidTr="000B07DE">
        <w:trPr>
          <w:jc w:val="center"/>
        </w:trPr>
        <w:tc>
          <w:tcPr>
            <w:tcW w:w="2522" w:type="dxa"/>
          </w:tcPr>
          <w:p w14:paraId="689E8C41" w14:textId="77777777" w:rsidR="0010601B" w:rsidRPr="00102D85" w:rsidRDefault="0010601B" w:rsidP="000B07DE">
            <w:pPr>
              <w:pStyle w:val="Tabla"/>
              <w:jc w:val="center"/>
            </w:pPr>
            <w:r>
              <w:t>100</w:t>
            </w:r>
          </w:p>
        </w:tc>
        <w:tc>
          <w:tcPr>
            <w:tcW w:w="2028" w:type="dxa"/>
          </w:tcPr>
          <w:p w14:paraId="25779313" w14:textId="77777777" w:rsidR="0010601B" w:rsidRPr="00102D85" w:rsidRDefault="0010601B" w:rsidP="000B07DE">
            <w:pPr>
              <w:pStyle w:val="Tabla"/>
              <w:jc w:val="center"/>
            </w:pPr>
            <w:r>
              <w:t>4</w:t>
            </w:r>
          </w:p>
        </w:tc>
        <w:tc>
          <w:tcPr>
            <w:tcW w:w="2058" w:type="dxa"/>
          </w:tcPr>
          <w:p w14:paraId="7752043C" w14:textId="77777777" w:rsidR="0010601B" w:rsidRPr="00102D85" w:rsidRDefault="0010601B" w:rsidP="000B07DE">
            <w:pPr>
              <w:pStyle w:val="Tabla"/>
              <w:jc w:val="center"/>
            </w:pPr>
            <w:r>
              <w:t>50/1</w:t>
            </w:r>
          </w:p>
        </w:tc>
        <w:tc>
          <w:tcPr>
            <w:tcW w:w="1886" w:type="dxa"/>
          </w:tcPr>
          <w:p w14:paraId="207964D0" w14:textId="77777777" w:rsidR="0010601B" w:rsidRPr="00102D85" w:rsidRDefault="0010601B" w:rsidP="000B07DE">
            <w:pPr>
              <w:pStyle w:val="Tabla"/>
              <w:jc w:val="center"/>
            </w:pPr>
            <w:r>
              <w:t>74,4</w:t>
            </w:r>
          </w:p>
        </w:tc>
      </w:tr>
      <w:tr w:rsidR="0010601B" w:rsidRPr="00102D85" w14:paraId="6F0FB21D" w14:textId="77777777" w:rsidTr="000B07DE">
        <w:trPr>
          <w:jc w:val="center"/>
        </w:trPr>
        <w:tc>
          <w:tcPr>
            <w:tcW w:w="2522" w:type="dxa"/>
          </w:tcPr>
          <w:p w14:paraId="3BF321FD" w14:textId="77777777" w:rsidR="0010601B" w:rsidRDefault="0010601B" w:rsidP="000B07DE">
            <w:pPr>
              <w:pStyle w:val="Tabla"/>
              <w:jc w:val="center"/>
            </w:pPr>
            <w:r>
              <w:t>100</w:t>
            </w:r>
          </w:p>
        </w:tc>
        <w:tc>
          <w:tcPr>
            <w:tcW w:w="2028" w:type="dxa"/>
          </w:tcPr>
          <w:p w14:paraId="796BBBF3" w14:textId="77777777" w:rsidR="0010601B" w:rsidRDefault="0010601B" w:rsidP="000B07DE">
            <w:pPr>
              <w:pStyle w:val="Tabla"/>
              <w:jc w:val="center"/>
            </w:pPr>
            <w:r>
              <w:t>4</w:t>
            </w:r>
          </w:p>
        </w:tc>
        <w:tc>
          <w:tcPr>
            <w:tcW w:w="2058" w:type="dxa"/>
          </w:tcPr>
          <w:p w14:paraId="35165FB3" w14:textId="77777777" w:rsidR="0010601B" w:rsidRDefault="0010601B" w:rsidP="000B07DE">
            <w:pPr>
              <w:pStyle w:val="Tabla"/>
              <w:jc w:val="center"/>
            </w:pPr>
            <w:r>
              <w:t>40/1</w:t>
            </w:r>
          </w:p>
        </w:tc>
        <w:tc>
          <w:tcPr>
            <w:tcW w:w="1886" w:type="dxa"/>
          </w:tcPr>
          <w:p w14:paraId="36622AC6" w14:textId="77777777" w:rsidR="0010601B" w:rsidRPr="00102D85" w:rsidRDefault="0010601B" w:rsidP="000B07DE">
            <w:pPr>
              <w:pStyle w:val="Tabla"/>
              <w:jc w:val="center"/>
            </w:pPr>
            <w:r>
              <w:t>58,3</w:t>
            </w:r>
          </w:p>
        </w:tc>
      </w:tr>
    </w:tbl>
    <w:p w14:paraId="4830E79D" w14:textId="536D2881" w:rsidR="0010601B" w:rsidRDefault="0010601B" w:rsidP="0010601B">
      <w:pPr>
        <w:pStyle w:val="Descripcin"/>
        <w:rPr>
          <w:lang w:val="es-ES"/>
        </w:rPr>
      </w:pPr>
      <w:bookmarkStart w:id="5" w:name="_Ref135148472"/>
      <w:r w:rsidRPr="00710DC1">
        <w:rPr>
          <w:lang w:val="es-ES"/>
        </w:rPr>
        <w:t xml:space="preserve">Tabla </w:t>
      </w:r>
      <w:r>
        <w:fldChar w:fldCharType="begin"/>
      </w:r>
      <w:r w:rsidRPr="00710DC1">
        <w:rPr>
          <w:lang w:val="es-ES"/>
        </w:rPr>
        <w:instrText xml:space="preserve"> SEQ Tabla \* ARABIC </w:instrText>
      </w:r>
      <w:r>
        <w:fldChar w:fldCharType="separate"/>
      </w:r>
      <w:r w:rsidR="004E27A4">
        <w:rPr>
          <w:noProof/>
          <w:lang w:val="es-ES"/>
        </w:rPr>
        <w:t>2</w:t>
      </w:r>
      <w:r>
        <w:fldChar w:fldCharType="end"/>
      </w:r>
      <w:bookmarkEnd w:id="5"/>
      <w:r w:rsidRPr="00710DC1">
        <w:rPr>
          <w:lang w:val="es-ES"/>
        </w:rPr>
        <w:t xml:space="preserve">. </w:t>
      </w:r>
      <w:r>
        <w:rPr>
          <w:lang w:val="es-ES"/>
        </w:rPr>
        <w:t>Resultados obtenidos en el estudio del ratio disolvente/muestra</w:t>
      </w:r>
    </w:p>
    <w:p w14:paraId="1DB7D14E" w14:textId="77777777" w:rsidR="00597CA7" w:rsidRPr="00597CA7" w:rsidRDefault="00597CA7" w:rsidP="00597CA7">
      <w:pPr>
        <w:rPr>
          <w:lang w:val="es-ES"/>
        </w:rPr>
      </w:pPr>
    </w:p>
    <w:p w14:paraId="0565CE4C" w14:textId="77777777" w:rsidR="009D768D" w:rsidRDefault="009D768D" w:rsidP="009D768D">
      <w:pPr>
        <w:keepNext/>
        <w:jc w:val="center"/>
      </w:pPr>
      <w:r>
        <w:rPr>
          <w:noProof/>
        </w:rPr>
        <w:drawing>
          <wp:inline distT="0" distB="0" distL="0" distR="0" wp14:anchorId="1B029B94" wp14:editId="4A98D392">
            <wp:extent cx="5400040" cy="13868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1386840"/>
                    </a:xfrm>
                    <a:prstGeom prst="rect">
                      <a:avLst/>
                    </a:prstGeom>
                  </pic:spPr>
                </pic:pic>
              </a:graphicData>
            </a:graphic>
          </wp:inline>
        </w:drawing>
      </w:r>
    </w:p>
    <w:p w14:paraId="467E417A" w14:textId="34DAC429" w:rsidR="0010601B" w:rsidRDefault="009D768D" w:rsidP="009D768D">
      <w:pPr>
        <w:pStyle w:val="Descripcin"/>
        <w:rPr>
          <w:lang w:val="es-ES"/>
        </w:rPr>
      </w:pPr>
      <w:r w:rsidRPr="009D768D">
        <w:rPr>
          <w:lang w:val="es-ES"/>
        </w:rPr>
        <w:t xml:space="preserve">Figura </w:t>
      </w:r>
      <w:r>
        <w:fldChar w:fldCharType="begin"/>
      </w:r>
      <w:r w:rsidRPr="009D768D">
        <w:rPr>
          <w:lang w:val="es-ES"/>
        </w:rPr>
        <w:instrText xml:space="preserve"> SEQ Figura \* ARABIC </w:instrText>
      </w:r>
      <w:r>
        <w:fldChar w:fldCharType="separate"/>
      </w:r>
      <w:r w:rsidR="004E27A4">
        <w:rPr>
          <w:noProof/>
          <w:lang w:val="es-ES"/>
        </w:rPr>
        <w:t>4</w:t>
      </w:r>
      <w:r>
        <w:fldChar w:fldCharType="end"/>
      </w:r>
      <w:r w:rsidRPr="009D768D">
        <w:rPr>
          <w:lang w:val="es-ES"/>
        </w:rPr>
        <w:t>. Reacción solvólisis del m</w:t>
      </w:r>
      <w:r>
        <w:rPr>
          <w:lang w:val="es-ES"/>
        </w:rPr>
        <w:t>aterial de referencia (ratio 50/1)</w:t>
      </w:r>
    </w:p>
    <w:p w14:paraId="385B9465" w14:textId="77777777" w:rsidR="00BE22BD" w:rsidRDefault="00BE22BD" w:rsidP="00BE22BD">
      <w:pPr>
        <w:rPr>
          <w:lang w:val="es-ES"/>
        </w:rPr>
      </w:pPr>
    </w:p>
    <w:p w14:paraId="438AADBE" w14:textId="002DFC40" w:rsidR="00BE22BD" w:rsidRDefault="00B3441E" w:rsidP="00BE22BD">
      <w:pPr>
        <w:rPr>
          <w:lang w:val="es-ES"/>
        </w:rPr>
      </w:pPr>
      <w:r>
        <w:rPr>
          <w:lang w:val="es-ES"/>
        </w:rPr>
        <w:t>Las fib</w:t>
      </w:r>
      <w:r w:rsidR="00A0467A">
        <w:rPr>
          <w:lang w:val="es-ES"/>
        </w:rPr>
        <w:t>r</w:t>
      </w:r>
      <w:r>
        <w:rPr>
          <w:lang w:val="es-ES"/>
        </w:rPr>
        <w:t xml:space="preserve">as recuperadas </w:t>
      </w:r>
      <w:r w:rsidR="009612C0">
        <w:rPr>
          <w:lang w:val="es-ES"/>
        </w:rPr>
        <w:t xml:space="preserve">tras la reacción </w:t>
      </w:r>
      <w:r>
        <w:rPr>
          <w:lang w:val="es-ES"/>
        </w:rPr>
        <w:t>se han analizado mediante SEM</w:t>
      </w:r>
      <w:r w:rsidR="00A0467A">
        <w:rPr>
          <w:lang w:val="es-ES"/>
        </w:rPr>
        <w:t>.</w:t>
      </w:r>
      <w:r w:rsidR="00FC6E9A">
        <w:rPr>
          <w:lang w:val="es-ES"/>
        </w:rPr>
        <w:t xml:space="preserve"> </w:t>
      </w:r>
      <w:r w:rsidR="00A0467A">
        <w:rPr>
          <w:lang w:val="es-ES"/>
        </w:rPr>
        <w:t xml:space="preserve">Las imágenes obtenidas </w:t>
      </w:r>
      <w:r w:rsidR="00FC159C">
        <w:rPr>
          <w:lang w:val="es-ES"/>
        </w:rPr>
        <w:t>del análisis</w:t>
      </w:r>
      <w:r w:rsidR="00A0467A">
        <w:rPr>
          <w:lang w:val="es-ES"/>
        </w:rPr>
        <w:t xml:space="preserve"> SEM </w:t>
      </w:r>
      <w:r w:rsidR="00FC159C">
        <w:rPr>
          <w:lang w:val="es-ES"/>
        </w:rPr>
        <w:t xml:space="preserve">realizado a las fibras recicladas (ver </w:t>
      </w:r>
      <w:r w:rsidR="00834C44">
        <w:rPr>
          <w:lang w:val="es-ES"/>
        </w:rPr>
        <w:t>Figura 5, Figura 6 y Figura 7</w:t>
      </w:r>
      <w:r w:rsidR="00FC159C">
        <w:rPr>
          <w:lang w:val="es-ES"/>
        </w:rPr>
        <w:t xml:space="preserve">) </w:t>
      </w:r>
      <w:r w:rsidR="00A0467A">
        <w:rPr>
          <w:lang w:val="es-ES"/>
        </w:rPr>
        <w:t xml:space="preserve">muestran </w:t>
      </w:r>
      <w:r w:rsidR="00AA3378">
        <w:rPr>
          <w:lang w:val="es-ES"/>
        </w:rPr>
        <w:t>la presencia de pequeñas partículas de resina.</w:t>
      </w:r>
      <w:r w:rsidR="009C3450">
        <w:rPr>
          <w:lang w:val="es-ES"/>
        </w:rPr>
        <w:t xml:space="preserve"> </w:t>
      </w:r>
      <w:r w:rsidR="00FC159C">
        <w:rPr>
          <w:lang w:val="es-ES"/>
        </w:rPr>
        <w:t>En l</w:t>
      </w:r>
      <w:r w:rsidR="009C3450">
        <w:rPr>
          <w:lang w:val="es-ES"/>
        </w:rPr>
        <w:t xml:space="preserve">a </w:t>
      </w:r>
      <w:r w:rsidR="00834C44">
        <w:rPr>
          <w:lang w:val="es-ES"/>
        </w:rPr>
        <w:t>Figura 7</w:t>
      </w:r>
      <w:r w:rsidR="00FC159C">
        <w:rPr>
          <w:lang w:val="es-ES"/>
        </w:rPr>
        <w:t xml:space="preserve"> se presentan</w:t>
      </w:r>
      <w:r w:rsidR="009C3450">
        <w:rPr>
          <w:lang w:val="es-ES"/>
        </w:rPr>
        <w:t xml:space="preserve"> las fibras obtenidas en la reacción 40/1. Comparando esta figura con las que corresponden a la reacción 60/1 y 50/1 respectivamente, se observa que </w:t>
      </w:r>
      <w:r w:rsidR="00B679BA">
        <w:rPr>
          <w:lang w:val="es-ES"/>
        </w:rPr>
        <w:t>el tamaño de las partículas de resina detectadas es</w:t>
      </w:r>
      <w:r w:rsidR="009C3450">
        <w:rPr>
          <w:lang w:val="es-ES"/>
        </w:rPr>
        <w:t xml:space="preserve"> mayor.</w:t>
      </w:r>
    </w:p>
    <w:p w14:paraId="35BDEF47" w14:textId="77777777" w:rsidR="007E1412" w:rsidRDefault="007E1412" w:rsidP="007E1412">
      <w:pPr>
        <w:keepNext/>
        <w:jc w:val="center"/>
      </w:pPr>
      <w:r>
        <w:rPr>
          <w:noProof/>
          <w:lang w:val="es-ES"/>
        </w:rPr>
        <w:lastRenderedPageBreak/>
        <w:drawing>
          <wp:inline distT="0" distB="0" distL="0" distR="0" wp14:anchorId="1ECB2DDD" wp14:editId="0F633AF4">
            <wp:extent cx="3865263" cy="2880000"/>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15" cstate="print">
                      <a:extLst>
                        <a:ext uri="{28A0092B-C50C-407E-A947-70E740481C1C}">
                          <a14:useLocalDpi xmlns:a14="http://schemas.microsoft.com/office/drawing/2010/main" val="0"/>
                        </a:ext>
                      </a:extLst>
                    </a:blip>
                    <a:srcRect r="13641" b="7049"/>
                    <a:stretch/>
                  </pic:blipFill>
                  <pic:spPr bwMode="auto">
                    <a:xfrm>
                      <a:off x="0" y="0"/>
                      <a:ext cx="3865263" cy="2880000"/>
                    </a:xfrm>
                    <a:prstGeom prst="rect">
                      <a:avLst/>
                    </a:prstGeom>
                    <a:ln>
                      <a:noFill/>
                    </a:ln>
                    <a:extLst>
                      <a:ext uri="{53640926-AAD7-44D8-BBD7-CCE9431645EC}">
                        <a14:shadowObscured xmlns:a14="http://schemas.microsoft.com/office/drawing/2010/main"/>
                      </a:ext>
                    </a:extLst>
                  </pic:spPr>
                </pic:pic>
              </a:graphicData>
            </a:graphic>
          </wp:inline>
        </w:drawing>
      </w:r>
    </w:p>
    <w:p w14:paraId="68695EC8" w14:textId="6F1EDEF3" w:rsidR="007E1412" w:rsidRDefault="007E1412" w:rsidP="007E1412">
      <w:pPr>
        <w:pStyle w:val="Descripcin"/>
        <w:rPr>
          <w:lang w:val="es-ES"/>
        </w:rPr>
      </w:pPr>
      <w:bookmarkStart w:id="6" w:name="_Ref135239150"/>
      <w:r w:rsidRPr="007E1412">
        <w:rPr>
          <w:lang w:val="es-ES"/>
        </w:rPr>
        <w:t xml:space="preserve">Figura </w:t>
      </w:r>
      <w:r>
        <w:fldChar w:fldCharType="begin"/>
      </w:r>
      <w:r w:rsidRPr="007E1412">
        <w:rPr>
          <w:lang w:val="es-ES"/>
        </w:rPr>
        <w:instrText xml:space="preserve"> SEQ Figura \* ARABIC </w:instrText>
      </w:r>
      <w:r>
        <w:fldChar w:fldCharType="separate"/>
      </w:r>
      <w:r w:rsidR="004E27A4">
        <w:rPr>
          <w:noProof/>
          <w:lang w:val="es-ES"/>
        </w:rPr>
        <w:t>5</w:t>
      </w:r>
      <w:r>
        <w:fldChar w:fldCharType="end"/>
      </w:r>
      <w:bookmarkEnd w:id="6"/>
      <w:r w:rsidRPr="007E1412">
        <w:rPr>
          <w:lang w:val="es-ES"/>
        </w:rPr>
        <w:t xml:space="preserve">. </w:t>
      </w:r>
      <w:r w:rsidRPr="009C3450">
        <w:rPr>
          <w:lang w:val="es-ES"/>
        </w:rPr>
        <w:t>Im</w:t>
      </w:r>
      <w:r>
        <w:rPr>
          <w:lang w:val="es-ES"/>
        </w:rPr>
        <w:t>a</w:t>
      </w:r>
      <w:r w:rsidRPr="009C3450">
        <w:rPr>
          <w:lang w:val="es-ES"/>
        </w:rPr>
        <w:t>gen SEM de l</w:t>
      </w:r>
      <w:r>
        <w:rPr>
          <w:lang w:val="es-ES"/>
        </w:rPr>
        <w:t>as fibras obtenidas en la reacción 60/1</w:t>
      </w:r>
    </w:p>
    <w:p w14:paraId="20021B21" w14:textId="6CD94FE5" w:rsidR="007E1412" w:rsidRDefault="007E1412" w:rsidP="007E1412">
      <w:pPr>
        <w:rPr>
          <w:lang w:val="es-ES"/>
        </w:rPr>
      </w:pPr>
    </w:p>
    <w:p w14:paraId="7173DD62" w14:textId="77777777" w:rsidR="007E1412" w:rsidRDefault="007E1412" w:rsidP="007E1412">
      <w:pPr>
        <w:keepNext/>
        <w:jc w:val="center"/>
      </w:pPr>
      <w:r>
        <w:rPr>
          <w:noProof/>
          <w:lang w:val="es-ES"/>
        </w:rPr>
        <w:drawing>
          <wp:inline distT="0" distB="0" distL="0" distR="0" wp14:anchorId="27815BBA" wp14:editId="152AC4D5">
            <wp:extent cx="3875221" cy="2844000"/>
            <wp:effectExtent l="0" t="0" r="0" b="0"/>
            <wp:docPr id="10" name="Imagen 10" descr="Imagen que contiene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reloj&#10;&#10;Descripción generada automáticamente"/>
                    <pic:cNvPicPr/>
                  </pic:nvPicPr>
                  <pic:blipFill rotWithShape="1">
                    <a:blip r:embed="rId16" cstate="print">
                      <a:extLst>
                        <a:ext uri="{28A0092B-C50C-407E-A947-70E740481C1C}">
                          <a14:useLocalDpi xmlns:a14="http://schemas.microsoft.com/office/drawing/2010/main" val="0"/>
                        </a:ext>
                      </a:extLst>
                    </a:blip>
                    <a:srcRect r="13641" b="8447"/>
                    <a:stretch/>
                  </pic:blipFill>
                  <pic:spPr bwMode="auto">
                    <a:xfrm>
                      <a:off x="0" y="0"/>
                      <a:ext cx="3875221" cy="2844000"/>
                    </a:xfrm>
                    <a:prstGeom prst="rect">
                      <a:avLst/>
                    </a:prstGeom>
                    <a:ln>
                      <a:noFill/>
                    </a:ln>
                    <a:extLst>
                      <a:ext uri="{53640926-AAD7-44D8-BBD7-CCE9431645EC}">
                        <a14:shadowObscured xmlns:a14="http://schemas.microsoft.com/office/drawing/2010/main"/>
                      </a:ext>
                    </a:extLst>
                  </pic:spPr>
                </pic:pic>
              </a:graphicData>
            </a:graphic>
          </wp:inline>
        </w:drawing>
      </w:r>
    </w:p>
    <w:p w14:paraId="54B46277" w14:textId="6C89F57D" w:rsidR="007E1412" w:rsidRDefault="007E1412" w:rsidP="007E1412">
      <w:pPr>
        <w:pStyle w:val="Descripcin"/>
        <w:rPr>
          <w:lang w:val="es-ES"/>
        </w:rPr>
      </w:pPr>
      <w:bookmarkStart w:id="7" w:name="_Ref135239147"/>
      <w:r w:rsidRPr="007E1412">
        <w:rPr>
          <w:lang w:val="es-ES"/>
        </w:rPr>
        <w:t xml:space="preserve">Figura </w:t>
      </w:r>
      <w:r>
        <w:fldChar w:fldCharType="begin"/>
      </w:r>
      <w:r w:rsidRPr="007E1412">
        <w:rPr>
          <w:lang w:val="es-ES"/>
        </w:rPr>
        <w:instrText xml:space="preserve"> SEQ Figura \* ARABIC </w:instrText>
      </w:r>
      <w:r>
        <w:fldChar w:fldCharType="separate"/>
      </w:r>
      <w:r w:rsidR="004E27A4">
        <w:rPr>
          <w:noProof/>
          <w:lang w:val="es-ES"/>
        </w:rPr>
        <w:t>6</w:t>
      </w:r>
      <w:r>
        <w:fldChar w:fldCharType="end"/>
      </w:r>
      <w:bookmarkEnd w:id="7"/>
      <w:r w:rsidRPr="007E1412">
        <w:rPr>
          <w:lang w:val="es-ES"/>
        </w:rPr>
        <w:t xml:space="preserve">. </w:t>
      </w:r>
      <w:r w:rsidRPr="009C3450">
        <w:rPr>
          <w:lang w:val="es-ES"/>
        </w:rPr>
        <w:t>Im</w:t>
      </w:r>
      <w:r>
        <w:rPr>
          <w:lang w:val="es-ES"/>
        </w:rPr>
        <w:t>a</w:t>
      </w:r>
      <w:r w:rsidRPr="009C3450">
        <w:rPr>
          <w:lang w:val="es-ES"/>
        </w:rPr>
        <w:t>gen SEM de l</w:t>
      </w:r>
      <w:r>
        <w:rPr>
          <w:lang w:val="es-ES"/>
        </w:rPr>
        <w:t>as fibras obtenidas en la reacción 50/1</w:t>
      </w:r>
    </w:p>
    <w:p w14:paraId="67DAF94D" w14:textId="2732507D" w:rsidR="007E1412" w:rsidRDefault="007E1412" w:rsidP="007E1412">
      <w:pPr>
        <w:pStyle w:val="Descripcin"/>
        <w:jc w:val="both"/>
        <w:rPr>
          <w:lang w:val="es-ES"/>
        </w:rPr>
      </w:pPr>
    </w:p>
    <w:p w14:paraId="6E38595C" w14:textId="77777777" w:rsidR="009C3450" w:rsidRDefault="009C3450" w:rsidP="009C3450">
      <w:pPr>
        <w:keepNext/>
        <w:jc w:val="center"/>
      </w:pPr>
      <w:r>
        <w:rPr>
          <w:noProof/>
          <w:lang w:val="es-ES"/>
        </w:rPr>
        <w:lastRenderedPageBreak/>
        <w:drawing>
          <wp:inline distT="0" distB="0" distL="0" distR="0" wp14:anchorId="14C05C6B" wp14:editId="2A26B362">
            <wp:extent cx="3827054" cy="2843786"/>
            <wp:effectExtent l="0" t="0" r="2540" b="0"/>
            <wp:docPr id="8" name="Imagen 8" descr="Imagen que contiene broch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broche&#10;&#10;Descripción generada automáticamente"/>
                    <pic:cNvPicPr/>
                  </pic:nvPicPr>
                  <pic:blipFill rotWithShape="1">
                    <a:blip r:embed="rId17" cstate="print">
                      <a:extLst>
                        <a:ext uri="{28A0092B-C50C-407E-A947-70E740481C1C}">
                          <a14:useLocalDpi xmlns:a14="http://schemas.microsoft.com/office/drawing/2010/main" val="0"/>
                        </a:ext>
                      </a:extLst>
                    </a:blip>
                    <a:srcRect r="13399" b="7042"/>
                    <a:stretch/>
                  </pic:blipFill>
                  <pic:spPr bwMode="auto">
                    <a:xfrm>
                      <a:off x="0" y="0"/>
                      <a:ext cx="3837686" cy="2851686"/>
                    </a:xfrm>
                    <a:prstGeom prst="rect">
                      <a:avLst/>
                    </a:prstGeom>
                    <a:ln>
                      <a:noFill/>
                    </a:ln>
                    <a:extLst>
                      <a:ext uri="{53640926-AAD7-44D8-BBD7-CCE9431645EC}">
                        <a14:shadowObscured xmlns:a14="http://schemas.microsoft.com/office/drawing/2010/main"/>
                      </a:ext>
                    </a:extLst>
                  </pic:spPr>
                </pic:pic>
              </a:graphicData>
            </a:graphic>
          </wp:inline>
        </w:drawing>
      </w:r>
    </w:p>
    <w:p w14:paraId="5EA672E4" w14:textId="463037D2" w:rsidR="00BE22BD" w:rsidRPr="009C3450" w:rsidRDefault="009C3450" w:rsidP="009C3450">
      <w:pPr>
        <w:pStyle w:val="Descripcin"/>
        <w:rPr>
          <w:lang w:val="es-ES"/>
        </w:rPr>
      </w:pPr>
      <w:bookmarkStart w:id="8" w:name="_Ref135237888"/>
      <w:r w:rsidRPr="009C3450">
        <w:rPr>
          <w:lang w:val="es-ES"/>
        </w:rPr>
        <w:t xml:space="preserve">Figura </w:t>
      </w:r>
      <w:r>
        <w:fldChar w:fldCharType="begin"/>
      </w:r>
      <w:r w:rsidRPr="009C3450">
        <w:rPr>
          <w:lang w:val="es-ES"/>
        </w:rPr>
        <w:instrText xml:space="preserve"> SEQ Figura \* ARABIC </w:instrText>
      </w:r>
      <w:r>
        <w:fldChar w:fldCharType="separate"/>
      </w:r>
      <w:r w:rsidR="004E27A4">
        <w:rPr>
          <w:noProof/>
          <w:lang w:val="es-ES"/>
        </w:rPr>
        <w:t>7</w:t>
      </w:r>
      <w:r>
        <w:fldChar w:fldCharType="end"/>
      </w:r>
      <w:bookmarkEnd w:id="8"/>
      <w:r w:rsidRPr="009C3450">
        <w:rPr>
          <w:lang w:val="es-ES"/>
        </w:rPr>
        <w:t>. Im</w:t>
      </w:r>
      <w:r>
        <w:rPr>
          <w:lang w:val="es-ES"/>
        </w:rPr>
        <w:t>a</w:t>
      </w:r>
      <w:r w:rsidRPr="009C3450">
        <w:rPr>
          <w:lang w:val="es-ES"/>
        </w:rPr>
        <w:t>gen SEM de l</w:t>
      </w:r>
      <w:r>
        <w:rPr>
          <w:lang w:val="es-ES"/>
        </w:rPr>
        <w:t>as fibras obtenidas en la reacción 40/1</w:t>
      </w:r>
    </w:p>
    <w:p w14:paraId="356D1B9A" w14:textId="17023A60" w:rsidR="00A87C60" w:rsidRDefault="00D044E8" w:rsidP="00710DC1">
      <w:pPr>
        <w:pStyle w:val="Ttulo2"/>
      </w:pPr>
      <w:r>
        <w:t>Solvólisis en residuos reales</w:t>
      </w:r>
      <w:r w:rsidR="00B679BA">
        <w:t xml:space="preserve"> no curados</w:t>
      </w:r>
    </w:p>
    <w:p w14:paraId="6985A6A7" w14:textId="1D47BD50" w:rsidR="00BE22BD" w:rsidRDefault="00940E78" w:rsidP="00A87C60">
      <w:pPr>
        <w:rPr>
          <w:lang w:val="es-ES"/>
        </w:rPr>
      </w:pPr>
      <w:r>
        <w:rPr>
          <w:lang w:val="es-ES"/>
        </w:rPr>
        <w:t xml:space="preserve">En base a los resultados obtenidos en los ensayos </w:t>
      </w:r>
      <w:r w:rsidR="004B7751">
        <w:rPr>
          <w:lang w:val="es-ES"/>
        </w:rPr>
        <w:t>realizados al material de referencia</w:t>
      </w:r>
      <w:r>
        <w:rPr>
          <w:lang w:val="es-ES"/>
        </w:rPr>
        <w:t>, se han establecido las condiciones óptimas (ver</w:t>
      </w:r>
      <w:r w:rsidR="00834C44">
        <w:rPr>
          <w:lang w:val="es-ES"/>
        </w:rPr>
        <w:t xml:space="preserve"> Tabla 3</w:t>
      </w:r>
      <w:r>
        <w:rPr>
          <w:lang w:val="es-ES"/>
        </w:rPr>
        <w:t xml:space="preserve">) utilizando residuo </w:t>
      </w:r>
      <w:r w:rsidR="004B7751">
        <w:rPr>
          <w:lang w:val="es-ES"/>
        </w:rPr>
        <w:t xml:space="preserve">no curado </w:t>
      </w:r>
      <w:r>
        <w:rPr>
          <w:lang w:val="es-ES"/>
        </w:rPr>
        <w:t>procedente de aeronáutica.</w:t>
      </w:r>
      <w:r w:rsidR="00102D85">
        <w:rPr>
          <w:lang w:val="es-ES"/>
        </w:rPr>
        <w:t xml:space="preserve"> </w:t>
      </w:r>
      <w:r w:rsidR="007336F0">
        <w:rPr>
          <w:lang w:val="es-ES"/>
        </w:rPr>
        <w:t xml:space="preserve">El resultado de la reacción se muestra en </w:t>
      </w:r>
      <w:r w:rsidR="007529B2">
        <w:rPr>
          <w:lang w:val="es-ES"/>
        </w:rPr>
        <w:t xml:space="preserve">la </w:t>
      </w:r>
      <w:r w:rsidR="00834C44">
        <w:rPr>
          <w:lang w:val="es-ES"/>
        </w:rPr>
        <w:t>Figura 8</w:t>
      </w:r>
      <w:r w:rsidR="007336F0">
        <w:rPr>
          <w:lang w:val="es-ES"/>
        </w:rPr>
        <w:t xml:space="preserve">, en la que se puede observar que </w:t>
      </w:r>
      <w:r w:rsidR="007529B2">
        <w:rPr>
          <w:lang w:val="es-ES"/>
        </w:rPr>
        <w:t xml:space="preserve">las fibras de carbono quedaron </w:t>
      </w:r>
      <w:r w:rsidR="007336F0">
        <w:rPr>
          <w:lang w:val="es-ES"/>
        </w:rPr>
        <w:t>sueltas</w:t>
      </w:r>
      <w:r w:rsidR="007529B2">
        <w:rPr>
          <w:lang w:val="es-ES"/>
        </w:rPr>
        <w:t xml:space="preserve"> después de la disolución de la matriz en el proceso de solvólisis.</w:t>
      </w:r>
    </w:p>
    <w:p w14:paraId="221D5EFA" w14:textId="77777777" w:rsidR="00C65007" w:rsidRDefault="00C65007" w:rsidP="00A87C60">
      <w:pPr>
        <w:rPr>
          <w:lang w:val="es-ES"/>
        </w:rPr>
      </w:pPr>
    </w:p>
    <w:tbl>
      <w:tblPr>
        <w:tblStyle w:val="Tablaconcuadrcula"/>
        <w:tblW w:w="0" w:type="auto"/>
        <w:jc w:val="center"/>
        <w:tblLook w:val="04A0" w:firstRow="1" w:lastRow="0" w:firstColumn="1" w:lastColumn="0" w:noHBand="0" w:noVBand="1"/>
      </w:tblPr>
      <w:tblGrid>
        <w:gridCol w:w="2522"/>
        <w:gridCol w:w="2028"/>
        <w:gridCol w:w="2058"/>
        <w:gridCol w:w="1886"/>
      </w:tblGrid>
      <w:tr w:rsidR="00957925" w:rsidRPr="00957925" w14:paraId="290E7063" w14:textId="264A1A30" w:rsidTr="00957925">
        <w:trPr>
          <w:jc w:val="center"/>
        </w:trPr>
        <w:tc>
          <w:tcPr>
            <w:tcW w:w="2522" w:type="dxa"/>
            <w:shd w:val="clear" w:color="auto" w:fill="D9D9D9" w:themeFill="background1" w:themeFillShade="D9"/>
          </w:tcPr>
          <w:p w14:paraId="5BD16340" w14:textId="28A98C33" w:rsidR="00957925" w:rsidRPr="00102D85" w:rsidRDefault="00957925" w:rsidP="00957925">
            <w:pPr>
              <w:pStyle w:val="Tabla"/>
              <w:jc w:val="center"/>
            </w:pPr>
            <w:r>
              <w:t>Temperatura (°C)</w:t>
            </w:r>
          </w:p>
        </w:tc>
        <w:tc>
          <w:tcPr>
            <w:tcW w:w="2028" w:type="dxa"/>
            <w:shd w:val="clear" w:color="auto" w:fill="D9D9D9" w:themeFill="background1" w:themeFillShade="D9"/>
          </w:tcPr>
          <w:p w14:paraId="0AD98491" w14:textId="7063E027" w:rsidR="00957925" w:rsidRPr="00102D85" w:rsidRDefault="00957925" w:rsidP="00102D85">
            <w:pPr>
              <w:pStyle w:val="Tabla"/>
              <w:jc w:val="center"/>
            </w:pPr>
            <w:r>
              <w:t>Tiempo (h)</w:t>
            </w:r>
          </w:p>
        </w:tc>
        <w:tc>
          <w:tcPr>
            <w:tcW w:w="2058" w:type="dxa"/>
            <w:shd w:val="clear" w:color="auto" w:fill="D9D9D9" w:themeFill="background1" w:themeFillShade="D9"/>
          </w:tcPr>
          <w:p w14:paraId="55BF5AE2" w14:textId="576CBA44" w:rsidR="00957925" w:rsidRPr="00102D85" w:rsidRDefault="00957925" w:rsidP="00957925">
            <w:pPr>
              <w:pStyle w:val="Tabla"/>
              <w:jc w:val="center"/>
            </w:pPr>
            <w:proofErr w:type="spellStart"/>
            <w:r>
              <w:t>Vol</w:t>
            </w:r>
            <w:proofErr w:type="spellEnd"/>
            <w:r>
              <w:t xml:space="preserve"> </w:t>
            </w:r>
            <w:proofErr w:type="spellStart"/>
            <w:r>
              <w:t>dis</w:t>
            </w:r>
            <w:proofErr w:type="spellEnd"/>
            <w:r>
              <w:t>/masa muestra (ml/g)</w:t>
            </w:r>
          </w:p>
        </w:tc>
        <w:tc>
          <w:tcPr>
            <w:tcW w:w="1886" w:type="dxa"/>
            <w:shd w:val="clear" w:color="auto" w:fill="D9D9D9" w:themeFill="background1" w:themeFillShade="D9"/>
          </w:tcPr>
          <w:p w14:paraId="03DB78AC" w14:textId="56DDED57" w:rsidR="00957925" w:rsidRDefault="00957925" w:rsidP="00957925">
            <w:pPr>
              <w:pStyle w:val="Tabla"/>
              <w:jc w:val="center"/>
            </w:pPr>
            <w:proofErr w:type="spellStart"/>
            <w:r>
              <w:t>Dr</w:t>
            </w:r>
            <w:proofErr w:type="spellEnd"/>
            <w:r>
              <w:t xml:space="preserve"> (%)</w:t>
            </w:r>
          </w:p>
        </w:tc>
      </w:tr>
      <w:tr w:rsidR="00957925" w:rsidRPr="00102D85" w14:paraId="6ACECF47" w14:textId="77777777" w:rsidTr="00957925">
        <w:trPr>
          <w:jc w:val="center"/>
        </w:trPr>
        <w:tc>
          <w:tcPr>
            <w:tcW w:w="2522" w:type="dxa"/>
          </w:tcPr>
          <w:p w14:paraId="1006D393" w14:textId="28D4D41C" w:rsidR="00957925" w:rsidRDefault="00957925" w:rsidP="00957925">
            <w:pPr>
              <w:pStyle w:val="Tabla"/>
              <w:jc w:val="center"/>
            </w:pPr>
            <w:r>
              <w:t>100</w:t>
            </w:r>
          </w:p>
        </w:tc>
        <w:tc>
          <w:tcPr>
            <w:tcW w:w="2028" w:type="dxa"/>
          </w:tcPr>
          <w:p w14:paraId="70EF5CDB" w14:textId="07DA0ED1" w:rsidR="00957925" w:rsidRDefault="00957925" w:rsidP="00102D85">
            <w:pPr>
              <w:pStyle w:val="Tabla"/>
              <w:jc w:val="center"/>
            </w:pPr>
            <w:r>
              <w:t>4</w:t>
            </w:r>
          </w:p>
        </w:tc>
        <w:tc>
          <w:tcPr>
            <w:tcW w:w="2058" w:type="dxa"/>
          </w:tcPr>
          <w:p w14:paraId="29CA2F14" w14:textId="2E78EB7B" w:rsidR="00957925" w:rsidRDefault="00940E78" w:rsidP="00102D85">
            <w:pPr>
              <w:pStyle w:val="Tabla"/>
              <w:jc w:val="center"/>
            </w:pPr>
            <w:r>
              <w:t>5</w:t>
            </w:r>
            <w:r w:rsidR="00957925">
              <w:t>0/1</w:t>
            </w:r>
          </w:p>
        </w:tc>
        <w:tc>
          <w:tcPr>
            <w:tcW w:w="1886" w:type="dxa"/>
          </w:tcPr>
          <w:p w14:paraId="4C7CCCEF" w14:textId="1E7E606C" w:rsidR="00957925" w:rsidRPr="00102D85" w:rsidRDefault="00B3441E" w:rsidP="00102D85">
            <w:pPr>
              <w:pStyle w:val="Tabla"/>
              <w:jc w:val="center"/>
            </w:pPr>
            <w:r>
              <w:t>72,5</w:t>
            </w:r>
          </w:p>
        </w:tc>
      </w:tr>
    </w:tbl>
    <w:p w14:paraId="6475D89C" w14:textId="498BB6F7" w:rsidR="00102D85" w:rsidRDefault="00710DC1" w:rsidP="00710DC1">
      <w:pPr>
        <w:pStyle w:val="Descripcin"/>
        <w:rPr>
          <w:lang w:val="es-ES"/>
        </w:rPr>
      </w:pPr>
      <w:bookmarkStart w:id="9" w:name="_Ref121504574"/>
      <w:r w:rsidRPr="00710DC1">
        <w:rPr>
          <w:lang w:val="es-ES"/>
        </w:rPr>
        <w:t xml:space="preserve">Tabla </w:t>
      </w:r>
      <w:r>
        <w:fldChar w:fldCharType="begin"/>
      </w:r>
      <w:r w:rsidRPr="00710DC1">
        <w:rPr>
          <w:lang w:val="es-ES"/>
        </w:rPr>
        <w:instrText xml:space="preserve"> SEQ Tabla \* ARABIC </w:instrText>
      </w:r>
      <w:r>
        <w:fldChar w:fldCharType="separate"/>
      </w:r>
      <w:r w:rsidR="004E27A4">
        <w:rPr>
          <w:noProof/>
          <w:lang w:val="es-ES"/>
        </w:rPr>
        <w:t>3</w:t>
      </w:r>
      <w:r>
        <w:fldChar w:fldCharType="end"/>
      </w:r>
      <w:bookmarkEnd w:id="9"/>
      <w:r w:rsidRPr="00710DC1">
        <w:rPr>
          <w:lang w:val="es-ES"/>
        </w:rPr>
        <w:t xml:space="preserve">. </w:t>
      </w:r>
      <w:r w:rsidR="00940E78">
        <w:rPr>
          <w:lang w:val="es-ES"/>
        </w:rPr>
        <w:t>Resultados obtenidos en la reacción del residuo</w:t>
      </w:r>
    </w:p>
    <w:p w14:paraId="0B461BB9" w14:textId="51ABA63F" w:rsidR="00957925" w:rsidRDefault="00957925" w:rsidP="00940E78">
      <w:pPr>
        <w:rPr>
          <w:lang w:val="es-ES"/>
        </w:rPr>
      </w:pPr>
    </w:p>
    <w:p w14:paraId="4A25E892" w14:textId="77777777" w:rsidR="00C223F9" w:rsidRDefault="00C223F9" w:rsidP="00C223F9">
      <w:pPr>
        <w:keepNext/>
        <w:jc w:val="center"/>
      </w:pPr>
      <w:r>
        <w:rPr>
          <w:noProof/>
        </w:rPr>
        <w:drawing>
          <wp:inline distT="0" distB="0" distL="0" distR="0" wp14:anchorId="11843B23" wp14:editId="11B7A908">
            <wp:extent cx="5400040" cy="144081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1440815"/>
                    </a:xfrm>
                    <a:prstGeom prst="rect">
                      <a:avLst/>
                    </a:prstGeom>
                  </pic:spPr>
                </pic:pic>
              </a:graphicData>
            </a:graphic>
          </wp:inline>
        </w:drawing>
      </w:r>
    </w:p>
    <w:p w14:paraId="41158CF6" w14:textId="0DE60947" w:rsidR="00C223F9" w:rsidRPr="00C223F9" w:rsidRDefault="00C223F9" w:rsidP="00C223F9">
      <w:pPr>
        <w:pStyle w:val="Descripcin"/>
        <w:rPr>
          <w:lang w:val="es-ES"/>
        </w:rPr>
      </w:pPr>
      <w:bookmarkStart w:id="10" w:name="_Ref135209824"/>
      <w:r w:rsidRPr="00C223F9">
        <w:rPr>
          <w:lang w:val="es-ES"/>
        </w:rPr>
        <w:t xml:space="preserve">Figura </w:t>
      </w:r>
      <w:r>
        <w:fldChar w:fldCharType="begin"/>
      </w:r>
      <w:r w:rsidRPr="00C223F9">
        <w:rPr>
          <w:lang w:val="es-ES"/>
        </w:rPr>
        <w:instrText xml:space="preserve"> SEQ Figura \* ARABIC </w:instrText>
      </w:r>
      <w:r>
        <w:fldChar w:fldCharType="separate"/>
      </w:r>
      <w:r w:rsidR="004E27A4">
        <w:rPr>
          <w:noProof/>
          <w:lang w:val="es-ES"/>
        </w:rPr>
        <w:t>8</w:t>
      </w:r>
      <w:r>
        <w:fldChar w:fldCharType="end"/>
      </w:r>
      <w:bookmarkEnd w:id="10"/>
      <w:r w:rsidRPr="00C223F9">
        <w:rPr>
          <w:lang w:val="es-ES"/>
        </w:rPr>
        <w:t>. Proceso de solvólisis d</w:t>
      </w:r>
      <w:r>
        <w:rPr>
          <w:lang w:val="es-ES"/>
        </w:rPr>
        <w:t xml:space="preserve">el residuo de </w:t>
      </w:r>
      <w:r w:rsidR="00AA60B4">
        <w:rPr>
          <w:lang w:val="es-ES"/>
        </w:rPr>
        <w:t>aeronáutica</w:t>
      </w:r>
    </w:p>
    <w:p w14:paraId="5521D814" w14:textId="77777777" w:rsidR="00C223F9" w:rsidRDefault="00C223F9" w:rsidP="00940E78">
      <w:pPr>
        <w:rPr>
          <w:lang w:val="es-ES"/>
        </w:rPr>
      </w:pPr>
    </w:p>
    <w:p w14:paraId="15B8FE59" w14:textId="0B9C938A" w:rsidR="00E543BD" w:rsidRDefault="00E543BD" w:rsidP="00E543BD">
      <w:pPr>
        <w:rPr>
          <w:lang w:val="es-ES"/>
        </w:rPr>
      </w:pPr>
      <w:r>
        <w:rPr>
          <w:lang w:val="es-ES"/>
        </w:rPr>
        <w:t>Para realizar una evaluación más exhaustiva de las fibras de carbono recuperadas, las fibras se han examinado mediante análisis SEM.</w:t>
      </w:r>
      <w:r w:rsidRPr="00BE22BD">
        <w:rPr>
          <w:lang w:val="es-ES"/>
        </w:rPr>
        <w:t xml:space="preserve"> A través de esta técnica, se ha logrado obtener imágenes de alta resolución </w:t>
      </w:r>
      <w:r>
        <w:rPr>
          <w:lang w:val="es-ES"/>
        </w:rPr>
        <w:t>(ver</w:t>
      </w:r>
      <w:r w:rsidR="00834C44">
        <w:rPr>
          <w:lang w:val="es-ES"/>
        </w:rPr>
        <w:t xml:space="preserve"> Figura 9</w:t>
      </w:r>
      <w:r>
        <w:rPr>
          <w:lang w:val="es-ES"/>
        </w:rPr>
        <w:t>) en la que se observan la presencia de pequeñas partículas de resina</w:t>
      </w:r>
      <w:r w:rsidR="00D905D8">
        <w:rPr>
          <w:lang w:val="es-ES"/>
        </w:rPr>
        <w:t xml:space="preserve"> en las fibras recuperadas</w:t>
      </w:r>
      <w:r>
        <w:rPr>
          <w:lang w:val="es-ES"/>
        </w:rPr>
        <w:t xml:space="preserve">. </w:t>
      </w:r>
    </w:p>
    <w:p w14:paraId="2989935B" w14:textId="6A5F12D9" w:rsidR="00A0467A" w:rsidRDefault="00FC6E9A" w:rsidP="00A0467A">
      <w:pPr>
        <w:keepNext/>
        <w:jc w:val="center"/>
      </w:pPr>
      <w:r>
        <w:rPr>
          <w:noProof/>
        </w:rPr>
        <w:lastRenderedPageBreak/>
        <w:drawing>
          <wp:inline distT="0" distB="0" distL="0" distR="0" wp14:anchorId="5C62EF43" wp14:editId="2AA679D2">
            <wp:extent cx="4511766" cy="3374275"/>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21697" cy="3381702"/>
                    </a:xfrm>
                    <a:prstGeom prst="rect">
                      <a:avLst/>
                    </a:prstGeom>
                  </pic:spPr>
                </pic:pic>
              </a:graphicData>
            </a:graphic>
          </wp:inline>
        </w:drawing>
      </w:r>
    </w:p>
    <w:p w14:paraId="4D2ED556" w14:textId="3E2C2669" w:rsidR="00A0467A" w:rsidRPr="00A0467A" w:rsidRDefault="00A0467A" w:rsidP="00A0467A">
      <w:pPr>
        <w:pStyle w:val="Descripcin"/>
        <w:rPr>
          <w:lang w:val="es-ES"/>
        </w:rPr>
      </w:pPr>
      <w:bookmarkStart w:id="11" w:name="_Ref135236156"/>
      <w:r w:rsidRPr="00A0467A">
        <w:rPr>
          <w:lang w:val="es-ES"/>
        </w:rPr>
        <w:t xml:space="preserve">Figura </w:t>
      </w:r>
      <w:r>
        <w:fldChar w:fldCharType="begin"/>
      </w:r>
      <w:r w:rsidRPr="00A0467A">
        <w:rPr>
          <w:lang w:val="es-ES"/>
        </w:rPr>
        <w:instrText xml:space="preserve"> SEQ Figura \* ARABIC </w:instrText>
      </w:r>
      <w:r>
        <w:fldChar w:fldCharType="separate"/>
      </w:r>
      <w:r w:rsidR="004E27A4">
        <w:rPr>
          <w:noProof/>
          <w:lang w:val="es-ES"/>
        </w:rPr>
        <w:t>9</w:t>
      </w:r>
      <w:r>
        <w:fldChar w:fldCharType="end"/>
      </w:r>
      <w:bookmarkEnd w:id="11"/>
      <w:r w:rsidRPr="00A0467A">
        <w:rPr>
          <w:lang w:val="es-ES"/>
        </w:rPr>
        <w:t>. Imagen SEM de l</w:t>
      </w:r>
      <w:r>
        <w:rPr>
          <w:lang w:val="es-ES"/>
        </w:rPr>
        <w:t>as fibras obtenidas del residuo de aeronáutica</w:t>
      </w:r>
    </w:p>
    <w:p w14:paraId="59F78472" w14:textId="77777777" w:rsidR="00957925" w:rsidRPr="00957925" w:rsidRDefault="00957925" w:rsidP="00957925">
      <w:pPr>
        <w:rPr>
          <w:lang w:val="es-ES"/>
        </w:rPr>
      </w:pPr>
    </w:p>
    <w:p w14:paraId="64BB3108" w14:textId="7E29CAE6" w:rsidR="00860298" w:rsidRPr="00860298" w:rsidRDefault="004E4F0B" w:rsidP="004E4F0B">
      <w:pPr>
        <w:pStyle w:val="Ttulo1"/>
      </w:pPr>
      <w:r>
        <w:t>Conclusiones</w:t>
      </w:r>
    </w:p>
    <w:p w14:paraId="53B6DB70" w14:textId="72DB6898" w:rsidR="00204472" w:rsidRPr="00204472" w:rsidRDefault="00BE30F5" w:rsidP="00204472">
      <w:pPr>
        <w:rPr>
          <w:lang w:val="es-ES"/>
        </w:rPr>
      </w:pPr>
      <w:r>
        <w:rPr>
          <w:lang w:val="es-ES"/>
        </w:rPr>
        <w:t xml:space="preserve">El reciclado </w:t>
      </w:r>
      <w:r w:rsidR="00204472" w:rsidRPr="00204472">
        <w:rPr>
          <w:lang w:val="es-ES"/>
        </w:rPr>
        <w:t>de composites reforzados con fibras de carbono es un campo en desarrollo que busca encontrar soluciones sostenibles para el tratamiento y aprovechamiento de estos materiales altamente resistentes. A</w:t>
      </w:r>
      <w:r w:rsidR="00204472">
        <w:rPr>
          <w:lang w:val="es-ES"/>
        </w:rPr>
        <w:t xml:space="preserve"> pesar de que</w:t>
      </w:r>
      <w:r w:rsidR="00204472" w:rsidRPr="00204472">
        <w:rPr>
          <w:lang w:val="es-ES"/>
        </w:rPr>
        <w:t xml:space="preserve"> el recicla</w:t>
      </w:r>
      <w:r>
        <w:rPr>
          <w:lang w:val="es-ES"/>
        </w:rPr>
        <w:t>do</w:t>
      </w:r>
      <w:r w:rsidR="00204472" w:rsidRPr="00204472">
        <w:rPr>
          <w:lang w:val="es-ES"/>
        </w:rPr>
        <w:t xml:space="preserve"> mecánico</w:t>
      </w:r>
      <w:r w:rsidR="00204472">
        <w:rPr>
          <w:lang w:val="es-ES"/>
        </w:rPr>
        <w:t xml:space="preserve"> </w:t>
      </w:r>
      <w:r w:rsidR="00204472" w:rsidRPr="00204472">
        <w:rPr>
          <w:lang w:val="es-ES"/>
        </w:rPr>
        <w:t xml:space="preserve">ha sido </w:t>
      </w:r>
      <w:r w:rsidR="00204472">
        <w:rPr>
          <w:lang w:val="es-ES"/>
        </w:rPr>
        <w:t>el método más utilizado</w:t>
      </w:r>
      <w:r w:rsidR="00204472" w:rsidRPr="00204472">
        <w:rPr>
          <w:lang w:val="es-ES"/>
        </w:rPr>
        <w:t>, presenta limitaciones en cuanto a la calidad del material reciclado y la pérdida de las propiedades de las fibras de carbono.</w:t>
      </w:r>
    </w:p>
    <w:p w14:paraId="7C54E355" w14:textId="136C90CD" w:rsidR="004E4F0B" w:rsidRDefault="00BE30F5" w:rsidP="00204472">
      <w:pPr>
        <w:rPr>
          <w:lang w:val="es-ES"/>
        </w:rPr>
      </w:pPr>
      <w:r>
        <w:rPr>
          <w:lang w:val="es-ES"/>
        </w:rPr>
        <w:t>La solvólisis of</w:t>
      </w:r>
      <w:r w:rsidR="00204472" w:rsidRPr="00204472">
        <w:rPr>
          <w:lang w:val="es-ES"/>
        </w:rPr>
        <w:t>rece una alternativa prometedora al descomponer los composites en sus componentes básicos, que pueden ser reutilizados o transformados en nuevos productos químicos o materiales</w:t>
      </w:r>
      <w:r w:rsidR="0073363C">
        <w:rPr>
          <w:lang w:val="es-ES"/>
        </w:rPr>
        <w:t>.</w:t>
      </w:r>
    </w:p>
    <w:p w14:paraId="40EE29BB" w14:textId="052EAB5C" w:rsidR="00204472" w:rsidRDefault="00FC6E9A" w:rsidP="00204472">
      <w:pPr>
        <w:rPr>
          <w:lang w:val="es-ES"/>
        </w:rPr>
      </w:pPr>
      <w:r>
        <w:rPr>
          <w:lang w:val="es-ES"/>
        </w:rPr>
        <w:t>En este estudio se han estudiado diferentes</w:t>
      </w:r>
      <w:r w:rsidR="00204472" w:rsidRPr="00204472">
        <w:rPr>
          <w:lang w:val="es-ES"/>
        </w:rPr>
        <w:t xml:space="preserve"> condiciones de reacción, la temperatur</w:t>
      </w:r>
      <w:r w:rsidR="00204472">
        <w:rPr>
          <w:lang w:val="es-ES"/>
        </w:rPr>
        <w:t xml:space="preserve">a </w:t>
      </w:r>
      <w:r w:rsidR="00204472" w:rsidRPr="00204472">
        <w:rPr>
          <w:lang w:val="es-ES"/>
        </w:rPr>
        <w:t>y la relación disolvente/</w:t>
      </w:r>
      <w:r w:rsidR="00204472">
        <w:rPr>
          <w:lang w:val="es-ES"/>
        </w:rPr>
        <w:t>muestra</w:t>
      </w:r>
      <w:r w:rsidR="00204472" w:rsidRPr="00204472">
        <w:rPr>
          <w:lang w:val="es-ES"/>
        </w:rPr>
        <w:t xml:space="preserve">, </w:t>
      </w:r>
      <w:r>
        <w:rPr>
          <w:lang w:val="es-ES"/>
        </w:rPr>
        <w:t xml:space="preserve">que </w:t>
      </w:r>
      <w:r w:rsidR="00204472" w:rsidRPr="00204472">
        <w:rPr>
          <w:lang w:val="es-ES"/>
        </w:rPr>
        <w:t>son parámetros importantes que afectan la eficacia de</w:t>
      </w:r>
      <w:r w:rsidR="003D7237">
        <w:rPr>
          <w:lang w:val="es-ES"/>
        </w:rPr>
        <w:t>l proceso de</w:t>
      </w:r>
      <w:r w:rsidR="00204472" w:rsidRPr="00204472">
        <w:rPr>
          <w:lang w:val="es-ES"/>
        </w:rPr>
        <w:t xml:space="preserve"> solvólisis. La optimización de estas condiciones es esencial para lograr una descomposición eficiente de</w:t>
      </w:r>
      <w:r w:rsidR="003D7237">
        <w:rPr>
          <w:lang w:val="es-ES"/>
        </w:rPr>
        <w:t xml:space="preserve"> las resinas presentes en </w:t>
      </w:r>
      <w:r w:rsidR="00204472" w:rsidRPr="00204472">
        <w:rPr>
          <w:lang w:val="es-ES"/>
        </w:rPr>
        <w:t>los residuos de composites de fibras de carbono.</w:t>
      </w:r>
      <w:r w:rsidR="001C59CD">
        <w:rPr>
          <w:lang w:val="es-ES"/>
        </w:rPr>
        <w:t xml:space="preserve"> Para conseguir la degradación de la resina epoxi de los composites de fibra de carbono se recomienda trabajar en torno a los 100°C ya que a temperaturas </w:t>
      </w:r>
      <w:r w:rsidR="003D7237">
        <w:rPr>
          <w:lang w:val="es-ES"/>
        </w:rPr>
        <w:t>inferiores a</w:t>
      </w:r>
      <w:r w:rsidR="001C59CD">
        <w:rPr>
          <w:lang w:val="es-ES"/>
        </w:rPr>
        <w:t xml:space="preserve"> 85°C no se produce dicha degradación. </w:t>
      </w:r>
      <w:r w:rsidR="00AA3378">
        <w:rPr>
          <w:lang w:val="es-ES"/>
        </w:rPr>
        <w:t>Asimismo, se ha comprobado que al reducir el ratio disolvente/muestra a 50/1 los resultados obtenidos en cuanto a degradación de la fibra son similares</w:t>
      </w:r>
      <w:r w:rsidR="003D7237">
        <w:rPr>
          <w:lang w:val="es-ES"/>
        </w:rPr>
        <w:t>.</w:t>
      </w:r>
    </w:p>
    <w:p w14:paraId="1F98C347" w14:textId="77777777" w:rsidR="0057451A" w:rsidRDefault="003D7237" w:rsidP="00204472">
      <w:pPr>
        <w:rPr>
          <w:lang w:val="es-ES"/>
        </w:rPr>
      </w:pPr>
      <w:r>
        <w:rPr>
          <w:lang w:val="es-ES"/>
        </w:rPr>
        <w:t xml:space="preserve">Las condiciones de operación establecidas con el material de referencia se han validado con un residuo de aeronáutica no curado, obteniendo buenos resultados. </w:t>
      </w:r>
    </w:p>
    <w:p w14:paraId="6DE50DFC" w14:textId="77777777" w:rsidR="00B72190" w:rsidRDefault="0057451A" w:rsidP="0057451A">
      <w:pPr>
        <w:rPr>
          <w:lang w:val="es-ES"/>
        </w:rPr>
      </w:pPr>
      <w:r>
        <w:rPr>
          <w:lang w:val="es-ES"/>
        </w:rPr>
        <w:t>Actualmente GAIKER sigue trabajando en el desarrollo del proceso de solvólisis en condiciones moderadas empleando otras corrientes de residuos de composites, analizando las propiedades de las fibras recicladas obtenidas y desarrollando un proceso de recuperación de la fracción orgánica obtenida.</w:t>
      </w:r>
    </w:p>
    <w:p w14:paraId="4E7266BA" w14:textId="6CBAF2E3" w:rsidR="00B72190" w:rsidRPr="00834C44" w:rsidRDefault="00B72190" w:rsidP="0057451A">
      <w:pPr>
        <w:rPr>
          <w:rFonts w:eastAsiaTheme="majorEastAsia" w:cstheme="majorBidi"/>
          <w:b/>
          <w:sz w:val="24"/>
          <w:szCs w:val="32"/>
          <w:lang w:val="es-ES"/>
        </w:rPr>
      </w:pPr>
      <w:r w:rsidRPr="00834C44">
        <w:rPr>
          <w:rFonts w:eastAsiaTheme="majorEastAsia" w:cstheme="majorBidi"/>
          <w:b/>
          <w:sz w:val="24"/>
          <w:szCs w:val="32"/>
          <w:lang w:val="es-ES"/>
        </w:rPr>
        <w:lastRenderedPageBreak/>
        <w:t>Agradecimientos</w:t>
      </w:r>
    </w:p>
    <w:p w14:paraId="625091C0" w14:textId="1456511C" w:rsidR="004E4F0B" w:rsidRDefault="00B72190" w:rsidP="0057451A">
      <w:pPr>
        <w:rPr>
          <w:lang w:val="es-ES"/>
        </w:rPr>
      </w:pPr>
      <w:r w:rsidRPr="00B72190">
        <w:rPr>
          <w:lang w:val="es-ES"/>
        </w:rPr>
        <w:t xml:space="preserve">Los autores desean expresar su agradecimiento a la Comisión Europea por el soporte al proyecto “MC4 - </w:t>
      </w:r>
      <w:proofErr w:type="spellStart"/>
      <w:r w:rsidRPr="00B72190">
        <w:rPr>
          <w:lang w:val="es-ES"/>
        </w:rPr>
        <w:t>Multi-level</w:t>
      </w:r>
      <w:proofErr w:type="spellEnd"/>
      <w:r w:rsidRPr="00B72190">
        <w:rPr>
          <w:lang w:val="es-ES"/>
        </w:rPr>
        <w:t xml:space="preserve"> Circular </w:t>
      </w:r>
      <w:proofErr w:type="spellStart"/>
      <w:r w:rsidRPr="00B72190">
        <w:rPr>
          <w:lang w:val="es-ES"/>
        </w:rPr>
        <w:t>Process</w:t>
      </w:r>
      <w:proofErr w:type="spellEnd"/>
      <w:r w:rsidRPr="00B72190">
        <w:rPr>
          <w:lang w:val="es-ES"/>
        </w:rPr>
        <w:t xml:space="preserve"> </w:t>
      </w:r>
      <w:proofErr w:type="spellStart"/>
      <w:r w:rsidRPr="00B72190">
        <w:rPr>
          <w:lang w:val="es-ES"/>
        </w:rPr>
        <w:t>Chain</w:t>
      </w:r>
      <w:proofErr w:type="spellEnd"/>
      <w:r w:rsidRPr="00B72190">
        <w:rPr>
          <w:lang w:val="es-ES"/>
        </w:rPr>
        <w:t xml:space="preserve"> </w:t>
      </w:r>
      <w:proofErr w:type="spellStart"/>
      <w:r w:rsidRPr="00B72190">
        <w:rPr>
          <w:lang w:val="es-ES"/>
        </w:rPr>
        <w:t>for</w:t>
      </w:r>
      <w:proofErr w:type="spellEnd"/>
      <w:r w:rsidRPr="00B72190">
        <w:rPr>
          <w:lang w:val="es-ES"/>
        </w:rPr>
        <w:t xml:space="preserve"> </w:t>
      </w:r>
      <w:proofErr w:type="spellStart"/>
      <w:r w:rsidRPr="00B72190">
        <w:rPr>
          <w:lang w:val="es-ES"/>
        </w:rPr>
        <w:t>Carbon</w:t>
      </w:r>
      <w:proofErr w:type="spellEnd"/>
      <w:r w:rsidRPr="00B72190">
        <w:rPr>
          <w:lang w:val="es-ES"/>
        </w:rPr>
        <w:t xml:space="preserve"> and </w:t>
      </w:r>
      <w:proofErr w:type="spellStart"/>
      <w:r w:rsidRPr="00B72190">
        <w:rPr>
          <w:lang w:val="es-ES"/>
        </w:rPr>
        <w:t>Glass</w:t>
      </w:r>
      <w:proofErr w:type="spellEnd"/>
      <w:r w:rsidRPr="00B72190">
        <w:rPr>
          <w:lang w:val="es-ES"/>
        </w:rPr>
        <w:t xml:space="preserve"> </w:t>
      </w:r>
      <w:proofErr w:type="spellStart"/>
      <w:r w:rsidRPr="00B72190">
        <w:rPr>
          <w:lang w:val="es-ES"/>
        </w:rPr>
        <w:t>Fibre</w:t>
      </w:r>
      <w:proofErr w:type="spellEnd"/>
      <w:r w:rsidRPr="00B72190">
        <w:rPr>
          <w:lang w:val="es-ES"/>
        </w:rPr>
        <w:t xml:space="preserve"> Composites” (ID 101057394) a través de su programa de I+D HORIZON EUROPE al ser el entorno de trabajo en el que se ha desarrollado esta investigación.</w:t>
      </w:r>
    </w:p>
    <w:p w14:paraId="55789C2C" w14:textId="77777777" w:rsidR="00860298" w:rsidRDefault="00860298" w:rsidP="00D64545">
      <w:pPr>
        <w:rPr>
          <w:lang w:val="es-ES"/>
        </w:rPr>
      </w:pPr>
    </w:p>
    <w:sdt>
      <w:sdtPr>
        <w:rPr>
          <w:rFonts w:eastAsiaTheme="minorHAnsi" w:cstheme="minorBidi"/>
          <w:b w:val="0"/>
          <w:sz w:val="22"/>
          <w:szCs w:val="22"/>
          <w:lang w:val="en-GB"/>
        </w:rPr>
        <w:id w:val="809594931"/>
        <w:docPartObj>
          <w:docPartGallery w:val="Bibliographies"/>
          <w:docPartUnique/>
        </w:docPartObj>
      </w:sdtPr>
      <w:sdtEndPr>
        <w:rPr>
          <w:rFonts w:eastAsiaTheme="majorEastAsia" w:cstheme="majorBidi"/>
          <w:b/>
          <w:sz w:val="24"/>
          <w:szCs w:val="32"/>
          <w:lang w:val="es-ES"/>
        </w:rPr>
      </w:sdtEndPr>
      <w:sdtContent>
        <w:p w14:paraId="062517C2" w14:textId="2EF0331E" w:rsidR="00E53F0C" w:rsidRPr="00BF7AB2" w:rsidRDefault="00E53F0C" w:rsidP="00EF31A1">
          <w:pPr>
            <w:pStyle w:val="Ttulo1"/>
            <w:numPr>
              <w:ilvl w:val="0"/>
              <w:numId w:val="0"/>
            </w:numPr>
            <w:ind w:left="360" w:hanging="360"/>
            <w:rPr>
              <w:lang w:val="en-GB"/>
            </w:rPr>
          </w:pPr>
          <w:proofErr w:type="spellStart"/>
          <w:r w:rsidRPr="00BF7AB2">
            <w:rPr>
              <w:lang w:val="en-GB"/>
            </w:rPr>
            <w:t>Bibliografía</w:t>
          </w:r>
          <w:proofErr w:type="spellEnd"/>
        </w:p>
      </w:sdtContent>
    </w:sdt>
    <w:p w14:paraId="15B14244" w14:textId="0D59A978" w:rsidR="00600EC7" w:rsidRPr="00600EC7" w:rsidRDefault="00EF31A1" w:rsidP="00600EC7">
      <w:pPr>
        <w:widowControl w:val="0"/>
        <w:autoSpaceDE w:val="0"/>
        <w:autoSpaceDN w:val="0"/>
        <w:adjustRightInd w:val="0"/>
        <w:spacing w:line="240" w:lineRule="auto"/>
        <w:ind w:left="640" w:hanging="640"/>
        <w:rPr>
          <w:rFonts w:ascii="Calibri" w:hAnsi="Calibri" w:cs="Calibri"/>
          <w:noProof/>
          <w:szCs w:val="24"/>
        </w:rPr>
      </w:pPr>
      <w:r>
        <w:fldChar w:fldCharType="begin" w:fldLock="1"/>
      </w:r>
      <w:r>
        <w:instrText xml:space="preserve">ADDIN Mendeley Bibliography CSL_BIBLIOGRAPHY </w:instrText>
      </w:r>
      <w:r>
        <w:fldChar w:fldCharType="separate"/>
      </w:r>
      <w:r w:rsidR="00600EC7" w:rsidRPr="00600EC7">
        <w:rPr>
          <w:rFonts w:ascii="Calibri" w:hAnsi="Calibri" w:cs="Calibri"/>
          <w:noProof/>
          <w:szCs w:val="24"/>
        </w:rPr>
        <w:t>[1]</w:t>
      </w:r>
      <w:r w:rsidR="00600EC7" w:rsidRPr="00600EC7">
        <w:rPr>
          <w:rFonts w:ascii="Calibri" w:hAnsi="Calibri" w:cs="Calibri"/>
          <w:noProof/>
          <w:szCs w:val="24"/>
        </w:rPr>
        <w:tab/>
        <w:t xml:space="preserve">J.P. Jensen, K. Skelton, Wind turbine blade recycling: Experiences, challenges and possibilities in a circular economy, Renew. Sustain. Energy Rev. 97 </w:t>
      </w:r>
      <w:r w:rsidR="00F856AC">
        <w:rPr>
          <w:rFonts w:ascii="Calibri" w:hAnsi="Calibri" w:cs="Calibri"/>
          <w:noProof/>
          <w:szCs w:val="24"/>
        </w:rPr>
        <w:t xml:space="preserve">, </w:t>
      </w:r>
      <w:r w:rsidR="00600EC7" w:rsidRPr="00600EC7">
        <w:rPr>
          <w:rFonts w:ascii="Calibri" w:hAnsi="Calibri" w:cs="Calibri"/>
          <w:noProof/>
          <w:szCs w:val="24"/>
        </w:rPr>
        <w:t>165–176</w:t>
      </w:r>
      <w:r w:rsidR="00F856AC">
        <w:rPr>
          <w:rFonts w:ascii="Calibri" w:hAnsi="Calibri" w:cs="Calibri"/>
          <w:noProof/>
          <w:szCs w:val="24"/>
        </w:rPr>
        <w:t xml:space="preserve">, </w:t>
      </w:r>
      <w:r w:rsidR="00F856AC" w:rsidRPr="00600EC7">
        <w:rPr>
          <w:rFonts w:ascii="Calibri" w:hAnsi="Calibri" w:cs="Calibri"/>
          <w:noProof/>
          <w:szCs w:val="24"/>
        </w:rPr>
        <w:t>2018</w:t>
      </w:r>
      <w:r w:rsidR="00600EC7" w:rsidRPr="00600EC7">
        <w:rPr>
          <w:rFonts w:ascii="Calibri" w:hAnsi="Calibri" w:cs="Calibri"/>
          <w:noProof/>
          <w:szCs w:val="24"/>
        </w:rPr>
        <w:t xml:space="preserve">. </w:t>
      </w:r>
      <w:r w:rsidR="00F856AC">
        <w:rPr>
          <w:rFonts w:ascii="Calibri" w:hAnsi="Calibri" w:cs="Calibri"/>
          <w:noProof/>
          <w:szCs w:val="24"/>
        </w:rPr>
        <w:t xml:space="preserve">DOI: </w:t>
      </w:r>
      <w:r w:rsidR="00600EC7" w:rsidRPr="00600EC7">
        <w:rPr>
          <w:rFonts w:ascii="Calibri" w:hAnsi="Calibri" w:cs="Calibri"/>
          <w:noProof/>
          <w:szCs w:val="24"/>
        </w:rPr>
        <w:t>10.1016/j.rser.2018.08.041.</w:t>
      </w:r>
    </w:p>
    <w:p w14:paraId="4C47F375" w14:textId="2942FCF1" w:rsidR="00600EC7" w:rsidRPr="00600EC7" w:rsidRDefault="00600EC7" w:rsidP="00600EC7">
      <w:pPr>
        <w:widowControl w:val="0"/>
        <w:autoSpaceDE w:val="0"/>
        <w:autoSpaceDN w:val="0"/>
        <w:adjustRightInd w:val="0"/>
        <w:spacing w:line="240" w:lineRule="auto"/>
        <w:ind w:left="640" w:hanging="640"/>
        <w:rPr>
          <w:rFonts w:ascii="Calibri" w:hAnsi="Calibri" w:cs="Calibri"/>
          <w:noProof/>
          <w:szCs w:val="24"/>
        </w:rPr>
      </w:pPr>
      <w:r w:rsidRPr="00600EC7">
        <w:rPr>
          <w:rFonts w:ascii="Calibri" w:hAnsi="Calibri" w:cs="Calibri"/>
          <w:noProof/>
          <w:szCs w:val="24"/>
        </w:rPr>
        <w:t>[2]</w:t>
      </w:r>
      <w:r w:rsidRPr="00600EC7">
        <w:rPr>
          <w:rFonts w:ascii="Calibri" w:hAnsi="Calibri" w:cs="Calibri"/>
          <w:noProof/>
          <w:szCs w:val="24"/>
        </w:rPr>
        <w:tab/>
        <w:t>A. Lefeuvre, S. Garnier, L. Jacquemin, B. Pillain, G. Sonnemann, Anticipating in-use stocks of carbon fiber reinforced polymers and related waste flows generated by the commercial aeronautical sector until 2050, Resour. Conserv. Recycl. 125</w:t>
      </w:r>
      <w:r w:rsidR="00F856AC">
        <w:rPr>
          <w:rFonts w:ascii="Calibri" w:hAnsi="Calibri" w:cs="Calibri"/>
          <w:noProof/>
          <w:szCs w:val="24"/>
        </w:rPr>
        <w:t xml:space="preserve">, </w:t>
      </w:r>
      <w:r w:rsidRPr="00600EC7">
        <w:rPr>
          <w:rFonts w:ascii="Calibri" w:hAnsi="Calibri" w:cs="Calibri"/>
          <w:noProof/>
          <w:szCs w:val="24"/>
        </w:rPr>
        <w:t>264–272</w:t>
      </w:r>
      <w:r w:rsidR="00F856AC">
        <w:rPr>
          <w:rFonts w:ascii="Calibri" w:hAnsi="Calibri" w:cs="Calibri"/>
          <w:noProof/>
          <w:szCs w:val="24"/>
        </w:rPr>
        <w:t xml:space="preserve">, </w:t>
      </w:r>
      <w:r w:rsidR="00597CA7">
        <w:rPr>
          <w:rFonts w:ascii="Calibri" w:hAnsi="Calibri" w:cs="Calibri"/>
          <w:noProof/>
          <w:szCs w:val="24"/>
        </w:rPr>
        <w:t>2</w:t>
      </w:r>
      <w:r w:rsidR="00F856AC" w:rsidRPr="00600EC7">
        <w:rPr>
          <w:rFonts w:ascii="Calibri" w:hAnsi="Calibri" w:cs="Calibri"/>
          <w:noProof/>
          <w:szCs w:val="24"/>
        </w:rPr>
        <w:t>017</w:t>
      </w:r>
      <w:r w:rsidRPr="00600EC7">
        <w:rPr>
          <w:rFonts w:ascii="Calibri" w:hAnsi="Calibri" w:cs="Calibri"/>
          <w:noProof/>
          <w:szCs w:val="24"/>
        </w:rPr>
        <w:t xml:space="preserve">. </w:t>
      </w:r>
      <w:r w:rsidR="00F856AC">
        <w:rPr>
          <w:rFonts w:ascii="Calibri" w:hAnsi="Calibri" w:cs="Calibri"/>
          <w:noProof/>
          <w:szCs w:val="24"/>
        </w:rPr>
        <w:t xml:space="preserve">DOI: </w:t>
      </w:r>
      <w:r w:rsidRPr="00600EC7">
        <w:rPr>
          <w:rFonts w:ascii="Calibri" w:hAnsi="Calibri" w:cs="Calibri"/>
          <w:noProof/>
          <w:szCs w:val="24"/>
        </w:rPr>
        <w:t>10.1016/j.resconrec.2017.06.023.</w:t>
      </w:r>
    </w:p>
    <w:p w14:paraId="7F53B7A7" w14:textId="773B0EA9" w:rsidR="00600EC7" w:rsidRPr="00600EC7" w:rsidRDefault="00600EC7" w:rsidP="00600EC7">
      <w:pPr>
        <w:widowControl w:val="0"/>
        <w:autoSpaceDE w:val="0"/>
        <w:autoSpaceDN w:val="0"/>
        <w:adjustRightInd w:val="0"/>
        <w:spacing w:line="240" w:lineRule="auto"/>
        <w:ind w:left="640" w:hanging="640"/>
        <w:rPr>
          <w:rFonts w:ascii="Calibri" w:hAnsi="Calibri" w:cs="Calibri"/>
          <w:noProof/>
          <w:szCs w:val="24"/>
        </w:rPr>
      </w:pPr>
      <w:r w:rsidRPr="00600EC7">
        <w:rPr>
          <w:rFonts w:ascii="Calibri" w:hAnsi="Calibri" w:cs="Calibri"/>
          <w:noProof/>
          <w:szCs w:val="24"/>
        </w:rPr>
        <w:t>[3]</w:t>
      </w:r>
      <w:r w:rsidRPr="00600EC7">
        <w:rPr>
          <w:rFonts w:ascii="Calibri" w:hAnsi="Calibri" w:cs="Calibri"/>
          <w:noProof/>
          <w:szCs w:val="24"/>
        </w:rPr>
        <w:tab/>
        <w:t>M. Holmes, Recycled carbon fiber composites become a reality, Reinf. Plast. 62</w:t>
      </w:r>
      <w:r w:rsidR="00F856AC">
        <w:rPr>
          <w:rFonts w:ascii="Calibri" w:hAnsi="Calibri" w:cs="Calibri"/>
          <w:noProof/>
          <w:szCs w:val="24"/>
        </w:rPr>
        <w:t>,</w:t>
      </w:r>
      <w:r w:rsidRPr="00600EC7">
        <w:rPr>
          <w:rFonts w:ascii="Calibri" w:hAnsi="Calibri" w:cs="Calibri"/>
          <w:noProof/>
          <w:szCs w:val="24"/>
        </w:rPr>
        <w:t xml:space="preserve"> 148–153</w:t>
      </w:r>
      <w:r w:rsidR="00F856AC">
        <w:rPr>
          <w:rFonts w:ascii="Calibri" w:hAnsi="Calibri" w:cs="Calibri"/>
          <w:noProof/>
          <w:szCs w:val="24"/>
        </w:rPr>
        <w:t>, 2018</w:t>
      </w:r>
      <w:r w:rsidRPr="00600EC7">
        <w:rPr>
          <w:rFonts w:ascii="Calibri" w:hAnsi="Calibri" w:cs="Calibri"/>
          <w:noProof/>
          <w:szCs w:val="24"/>
        </w:rPr>
        <w:t xml:space="preserve">. </w:t>
      </w:r>
      <w:r w:rsidR="00F856AC">
        <w:rPr>
          <w:rFonts w:ascii="Calibri" w:hAnsi="Calibri" w:cs="Calibri"/>
          <w:noProof/>
          <w:szCs w:val="24"/>
        </w:rPr>
        <w:t xml:space="preserve">DOI: </w:t>
      </w:r>
      <w:r w:rsidRPr="00600EC7">
        <w:rPr>
          <w:rFonts w:ascii="Calibri" w:hAnsi="Calibri" w:cs="Calibri"/>
          <w:noProof/>
          <w:szCs w:val="24"/>
        </w:rPr>
        <w:t>10.1016/j.repl.2017.11.012.</w:t>
      </w:r>
    </w:p>
    <w:p w14:paraId="49B96DF0" w14:textId="08557DE5" w:rsidR="00600EC7" w:rsidRPr="00600EC7" w:rsidRDefault="00600EC7" w:rsidP="00600EC7">
      <w:pPr>
        <w:widowControl w:val="0"/>
        <w:autoSpaceDE w:val="0"/>
        <w:autoSpaceDN w:val="0"/>
        <w:adjustRightInd w:val="0"/>
        <w:spacing w:line="240" w:lineRule="auto"/>
        <w:ind w:left="640" w:hanging="640"/>
        <w:rPr>
          <w:rFonts w:ascii="Calibri" w:hAnsi="Calibri" w:cs="Calibri"/>
          <w:noProof/>
          <w:szCs w:val="24"/>
        </w:rPr>
      </w:pPr>
      <w:r w:rsidRPr="00600EC7">
        <w:rPr>
          <w:rFonts w:ascii="Calibri" w:hAnsi="Calibri" w:cs="Calibri"/>
          <w:noProof/>
          <w:szCs w:val="24"/>
        </w:rPr>
        <w:t>[4]</w:t>
      </w:r>
      <w:r w:rsidRPr="00600EC7">
        <w:rPr>
          <w:rFonts w:ascii="Calibri" w:hAnsi="Calibri" w:cs="Calibri"/>
          <w:noProof/>
          <w:szCs w:val="24"/>
        </w:rPr>
        <w:tab/>
        <w:t>H.U. Sokoli, J. Beauson, M.E. Simonsen, A. Fraisse, P. Brøndsted, E.G. Søgaard, Optimized process for recovery of glass- and carbon fibers with retained mechanical properties by means of near- and supercritical fluids, J. Supercrit. Fluids. 124</w:t>
      </w:r>
      <w:r w:rsidR="00F856AC">
        <w:rPr>
          <w:rFonts w:ascii="Calibri" w:hAnsi="Calibri" w:cs="Calibri"/>
          <w:noProof/>
          <w:szCs w:val="24"/>
        </w:rPr>
        <w:t xml:space="preserve">, </w:t>
      </w:r>
      <w:r w:rsidRPr="00600EC7">
        <w:rPr>
          <w:rFonts w:ascii="Calibri" w:hAnsi="Calibri" w:cs="Calibri"/>
          <w:noProof/>
          <w:szCs w:val="24"/>
        </w:rPr>
        <w:t>80–89</w:t>
      </w:r>
      <w:r w:rsidR="00F856AC">
        <w:rPr>
          <w:rFonts w:ascii="Calibri" w:hAnsi="Calibri" w:cs="Calibri"/>
          <w:noProof/>
          <w:szCs w:val="24"/>
        </w:rPr>
        <w:t>, 2017</w:t>
      </w:r>
      <w:r w:rsidRPr="00600EC7">
        <w:rPr>
          <w:rFonts w:ascii="Calibri" w:hAnsi="Calibri" w:cs="Calibri"/>
          <w:noProof/>
          <w:szCs w:val="24"/>
        </w:rPr>
        <w:t xml:space="preserve">. </w:t>
      </w:r>
      <w:r w:rsidR="00F856AC">
        <w:rPr>
          <w:rFonts w:ascii="Calibri" w:hAnsi="Calibri" w:cs="Calibri"/>
          <w:noProof/>
          <w:szCs w:val="24"/>
        </w:rPr>
        <w:t xml:space="preserve">DOI: </w:t>
      </w:r>
      <w:r w:rsidRPr="00600EC7">
        <w:rPr>
          <w:rFonts w:ascii="Calibri" w:hAnsi="Calibri" w:cs="Calibri"/>
          <w:noProof/>
          <w:szCs w:val="24"/>
        </w:rPr>
        <w:t>10.1016/j.supflu.2017.01.013.</w:t>
      </w:r>
    </w:p>
    <w:p w14:paraId="69BB7C28" w14:textId="063F48E6" w:rsidR="00600EC7" w:rsidRPr="00600EC7" w:rsidRDefault="00600EC7" w:rsidP="00600EC7">
      <w:pPr>
        <w:widowControl w:val="0"/>
        <w:autoSpaceDE w:val="0"/>
        <w:autoSpaceDN w:val="0"/>
        <w:adjustRightInd w:val="0"/>
        <w:spacing w:line="240" w:lineRule="auto"/>
        <w:ind w:left="640" w:hanging="640"/>
        <w:rPr>
          <w:rFonts w:ascii="Calibri" w:hAnsi="Calibri" w:cs="Calibri"/>
          <w:noProof/>
          <w:szCs w:val="24"/>
        </w:rPr>
      </w:pPr>
      <w:r w:rsidRPr="00600EC7">
        <w:rPr>
          <w:rFonts w:ascii="Calibri" w:hAnsi="Calibri" w:cs="Calibri"/>
          <w:noProof/>
          <w:szCs w:val="24"/>
        </w:rPr>
        <w:t>[5]</w:t>
      </w:r>
      <w:r w:rsidRPr="00600EC7">
        <w:rPr>
          <w:rFonts w:ascii="Calibri" w:hAnsi="Calibri" w:cs="Calibri"/>
          <w:noProof/>
          <w:szCs w:val="24"/>
        </w:rPr>
        <w:tab/>
        <w:t>J. Li, P.L. Xu, Y.K. Zhu, J.P. Ding, L.X. Xue, Y.Z. Wang, A promising strategy for chemical recycling of carbon fiber/thermoset composites: Self-accelerating decomposition in a mild oxidative system, Green Chem. 14</w:t>
      </w:r>
      <w:r w:rsidR="00F856AC">
        <w:rPr>
          <w:rFonts w:ascii="Calibri" w:hAnsi="Calibri" w:cs="Calibri"/>
          <w:noProof/>
          <w:szCs w:val="24"/>
        </w:rPr>
        <w:t>,</w:t>
      </w:r>
      <w:r w:rsidRPr="00600EC7">
        <w:rPr>
          <w:rFonts w:ascii="Calibri" w:hAnsi="Calibri" w:cs="Calibri"/>
          <w:noProof/>
          <w:szCs w:val="24"/>
        </w:rPr>
        <w:t xml:space="preserve"> 3260–3263</w:t>
      </w:r>
      <w:r w:rsidR="00F856AC">
        <w:rPr>
          <w:rFonts w:ascii="Calibri" w:hAnsi="Calibri" w:cs="Calibri"/>
          <w:noProof/>
          <w:szCs w:val="24"/>
        </w:rPr>
        <w:t>, 2012</w:t>
      </w:r>
      <w:r w:rsidRPr="00600EC7">
        <w:rPr>
          <w:rFonts w:ascii="Calibri" w:hAnsi="Calibri" w:cs="Calibri"/>
          <w:noProof/>
          <w:szCs w:val="24"/>
        </w:rPr>
        <w:t xml:space="preserve">. </w:t>
      </w:r>
      <w:r w:rsidR="00F856AC">
        <w:rPr>
          <w:rFonts w:ascii="Calibri" w:hAnsi="Calibri" w:cs="Calibri"/>
          <w:noProof/>
          <w:szCs w:val="24"/>
        </w:rPr>
        <w:t xml:space="preserve">DOI: </w:t>
      </w:r>
      <w:r w:rsidRPr="00600EC7">
        <w:rPr>
          <w:rFonts w:ascii="Calibri" w:hAnsi="Calibri" w:cs="Calibri"/>
          <w:noProof/>
          <w:szCs w:val="24"/>
        </w:rPr>
        <w:t>10.1039/c2gc36294e.</w:t>
      </w:r>
    </w:p>
    <w:p w14:paraId="589700EB" w14:textId="227F7265" w:rsidR="00600EC7" w:rsidRPr="00600EC7" w:rsidRDefault="00600EC7" w:rsidP="00600EC7">
      <w:pPr>
        <w:widowControl w:val="0"/>
        <w:autoSpaceDE w:val="0"/>
        <w:autoSpaceDN w:val="0"/>
        <w:adjustRightInd w:val="0"/>
        <w:spacing w:line="240" w:lineRule="auto"/>
        <w:ind w:left="640" w:hanging="640"/>
        <w:rPr>
          <w:rFonts w:ascii="Calibri" w:hAnsi="Calibri" w:cs="Calibri"/>
          <w:noProof/>
          <w:szCs w:val="24"/>
        </w:rPr>
      </w:pPr>
      <w:r w:rsidRPr="00600EC7">
        <w:rPr>
          <w:rFonts w:ascii="Calibri" w:hAnsi="Calibri" w:cs="Calibri"/>
          <w:noProof/>
          <w:szCs w:val="24"/>
        </w:rPr>
        <w:t>[6]</w:t>
      </w:r>
      <w:r w:rsidRPr="00600EC7">
        <w:rPr>
          <w:rFonts w:ascii="Calibri" w:hAnsi="Calibri" w:cs="Calibri"/>
          <w:noProof/>
          <w:szCs w:val="24"/>
        </w:rPr>
        <w:tab/>
        <w:t>K. Ishii, Hitachi Chemical Technical Report, 50–53</w:t>
      </w:r>
      <w:r w:rsidR="00F856AC">
        <w:rPr>
          <w:rFonts w:ascii="Calibri" w:hAnsi="Calibri" w:cs="Calibri"/>
          <w:noProof/>
          <w:szCs w:val="24"/>
        </w:rPr>
        <w:t>, 2013</w:t>
      </w:r>
      <w:r w:rsidRPr="00600EC7">
        <w:rPr>
          <w:rFonts w:ascii="Calibri" w:hAnsi="Calibri" w:cs="Calibri"/>
          <w:noProof/>
          <w:szCs w:val="24"/>
        </w:rPr>
        <w:t>. http://www.hitachi-chem.co.jp/english/report/055/55.pdf.</w:t>
      </w:r>
    </w:p>
    <w:p w14:paraId="340B10E9" w14:textId="47B7EE1F" w:rsidR="00600EC7" w:rsidRPr="00600EC7" w:rsidRDefault="00600EC7" w:rsidP="00600EC7">
      <w:pPr>
        <w:widowControl w:val="0"/>
        <w:autoSpaceDE w:val="0"/>
        <w:autoSpaceDN w:val="0"/>
        <w:adjustRightInd w:val="0"/>
        <w:spacing w:line="240" w:lineRule="auto"/>
        <w:ind w:left="640" w:hanging="640"/>
        <w:rPr>
          <w:rFonts w:ascii="Calibri" w:hAnsi="Calibri" w:cs="Calibri"/>
          <w:noProof/>
          <w:szCs w:val="24"/>
        </w:rPr>
      </w:pPr>
      <w:r w:rsidRPr="00600EC7">
        <w:rPr>
          <w:rFonts w:ascii="Calibri" w:hAnsi="Calibri" w:cs="Calibri"/>
          <w:noProof/>
          <w:szCs w:val="24"/>
        </w:rPr>
        <w:t>[7]</w:t>
      </w:r>
      <w:r w:rsidRPr="00600EC7">
        <w:rPr>
          <w:rFonts w:ascii="Calibri" w:hAnsi="Calibri" w:cs="Calibri"/>
          <w:noProof/>
          <w:szCs w:val="24"/>
        </w:rPr>
        <w:tab/>
        <w:t>M. Das, R. Chacko, S. Varughese, An Efficient Method of Recycling of CFRP Waste Using Peracetic Acid, ACS Sustain. Chem. Eng. 6</w:t>
      </w:r>
      <w:r w:rsidR="00597CA7">
        <w:rPr>
          <w:rFonts w:ascii="Calibri" w:hAnsi="Calibri" w:cs="Calibri"/>
          <w:noProof/>
          <w:szCs w:val="24"/>
        </w:rPr>
        <w:t>,</w:t>
      </w:r>
      <w:r w:rsidRPr="00600EC7">
        <w:rPr>
          <w:rFonts w:ascii="Calibri" w:hAnsi="Calibri" w:cs="Calibri"/>
          <w:noProof/>
          <w:szCs w:val="24"/>
        </w:rPr>
        <w:t xml:space="preserve"> 1564–1571</w:t>
      </w:r>
      <w:r w:rsidR="00597CA7">
        <w:rPr>
          <w:rFonts w:ascii="Calibri" w:hAnsi="Calibri" w:cs="Calibri"/>
          <w:noProof/>
          <w:szCs w:val="24"/>
        </w:rPr>
        <w:t>, 2018</w:t>
      </w:r>
      <w:r w:rsidRPr="00600EC7">
        <w:rPr>
          <w:rFonts w:ascii="Calibri" w:hAnsi="Calibri" w:cs="Calibri"/>
          <w:noProof/>
          <w:szCs w:val="24"/>
        </w:rPr>
        <w:t xml:space="preserve">. </w:t>
      </w:r>
      <w:r w:rsidR="00597CA7">
        <w:rPr>
          <w:rFonts w:ascii="Calibri" w:hAnsi="Calibri" w:cs="Calibri"/>
          <w:noProof/>
          <w:szCs w:val="24"/>
        </w:rPr>
        <w:t xml:space="preserve">DOI: </w:t>
      </w:r>
      <w:r w:rsidRPr="00600EC7">
        <w:rPr>
          <w:rFonts w:ascii="Calibri" w:hAnsi="Calibri" w:cs="Calibri"/>
          <w:noProof/>
          <w:szCs w:val="24"/>
        </w:rPr>
        <w:t>10.1021/acssuschemeng.7b01456.</w:t>
      </w:r>
    </w:p>
    <w:p w14:paraId="279496CF" w14:textId="1582BBD9" w:rsidR="00600EC7" w:rsidRPr="00600EC7" w:rsidRDefault="00600EC7" w:rsidP="00600EC7">
      <w:pPr>
        <w:widowControl w:val="0"/>
        <w:autoSpaceDE w:val="0"/>
        <w:autoSpaceDN w:val="0"/>
        <w:adjustRightInd w:val="0"/>
        <w:spacing w:line="240" w:lineRule="auto"/>
        <w:ind w:left="640" w:hanging="640"/>
        <w:rPr>
          <w:rFonts w:ascii="Calibri" w:hAnsi="Calibri" w:cs="Calibri"/>
          <w:noProof/>
        </w:rPr>
      </w:pPr>
      <w:r w:rsidRPr="00600EC7">
        <w:rPr>
          <w:rFonts w:ascii="Calibri" w:hAnsi="Calibri" w:cs="Calibri"/>
          <w:noProof/>
          <w:szCs w:val="24"/>
        </w:rPr>
        <w:t>[8]</w:t>
      </w:r>
      <w:r w:rsidRPr="00600EC7">
        <w:rPr>
          <w:rFonts w:ascii="Calibri" w:hAnsi="Calibri" w:cs="Calibri"/>
          <w:noProof/>
          <w:szCs w:val="24"/>
        </w:rPr>
        <w:tab/>
        <w:t>H. Sukanto, W.W. Raharjo, D. Ariawan, J. Triyono, M. Kaavesina, Epoxy resins thermosetting for mechanical engineering, Open Eng. 11</w:t>
      </w:r>
      <w:r w:rsidR="00597CA7">
        <w:rPr>
          <w:rFonts w:ascii="Calibri" w:hAnsi="Calibri" w:cs="Calibri"/>
          <w:noProof/>
          <w:szCs w:val="24"/>
        </w:rPr>
        <w:t>,</w:t>
      </w:r>
      <w:r w:rsidRPr="00600EC7">
        <w:rPr>
          <w:rFonts w:ascii="Calibri" w:hAnsi="Calibri" w:cs="Calibri"/>
          <w:noProof/>
          <w:szCs w:val="24"/>
        </w:rPr>
        <w:t xml:space="preserve"> 797–814</w:t>
      </w:r>
      <w:r w:rsidR="00597CA7">
        <w:rPr>
          <w:rFonts w:ascii="Calibri" w:hAnsi="Calibri" w:cs="Calibri"/>
          <w:noProof/>
          <w:szCs w:val="24"/>
        </w:rPr>
        <w:t>, 2021</w:t>
      </w:r>
      <w:r w:rsidRPr="00600EC7">
        <w:rPr>
          <w:rFonts w:ascii="Calibri" w:hAnsi="Calibri" w:cs="Calibri"/>
          <w:noProof/>
          <w:szCs w:val="24"/>
        </w:rPr>
        <w:t xml:space="preserve">. </w:t>
      </w:r>
      <w:r w:rsidR="00597CA7">
        <w:rPr>
          <w:rFonts w:ascii="Calibri" w:hAnsi="Calibri" w:cs="Calibri"/>
          <w:noProof/>
          <w:szCs w:val="24"/>
        </w:rPr>
        <w:t xml:space="preserve">DOI: </w:t>
      </w:r>
      <w:r w:rsidRPr="00600EC7">
        <w:rPr>
          <w:rFonts w:ascii="Calibri" w:hAnsi="Calibri" w:cs="Calibri"/>
          <w:noProof/>
          <w:szCs w:val="24"/>
        </w:rPr>
        <w:t>10.1515/eng-2021-0078.</w:t>
      </w:r>
    </w:p>
    <w:p w14:paraId="580D2D50" w14:textId="271B486A" w:rsidR="00860298" w:rsidRDefault="00EF31A1" w:rsidP="00860298">
      <w:r>
        <w:fldChar w:fldCharType="end"/>
      </w:r>
    </w:p>
    <w:p w14:paraId="0C904CFA" w14:textId="77777777" w:rsidR="00710DC1" w:rsidRPr="00BF7AB2" w:rsidRDefault="00710DC1" w:rsidP="00710DC1"/>
    <w:sectPr w:rsidR="00710DC1" w:rsidRPr="00BF7AB2">
      <w:headerReference w:type="default" r:id="rId2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E7A86" w14:textId="77777777" w:rsidR="00F45ACF" w:rsidRDefault="00F45ACF" w:rsidP="00DF6FA1">
      <w:pPr>
        <w:spacing w:before="0" w:line="240" w:lineRule="auto"/>
      </w:pPr>
      <w:r>
        <w:separator/>
      </w:r>
    </w:p>
  </w:endnote>
  <w:endnote w:type="continuationSeparator" w:id="0">
    <w:p w14:paraId="3145C8EE" w14:textId="77777777" w:rsidR="00F45ACF" w:rsidRDefault="00F45ACF" w:rsidP="00DF6FA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931CA" w14:textId="77777777" w:rsidR="00F45ACF" w:rsidRDefault="00F45ACF" w:rsidP="00DF6FA1">
      <w:pPr>
        <w:spacing w:before="0" w:line="240" w:lineRule="auto"/>
      </w:pPr>
      <w:r>
        <w:separator/>
      </w:r>
    </w:p>
  </w:footnote>
  <w:footnote w:type="continuationSeparator" w:id="0">
    <w:p w14:paraId="5305598F" w14:textId="77777777" w:rsidR="00F45ACF" w:rsidRDefault="00F45ACF" w:rsidP="00DF6FA1">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FB3D7" w14:textId="77777777" w:rsidR="00DF6FA1" w:rsidRPr="00DF6FA1" w:rsidRDefault="00DF6FA1" w:rsidP="00DF6FA1">
    <w:pPr>
      <w:jc w:val="center"/>
      <w:rPr>
        <w:b/>
        <w:sz w:val="24"/>
        <w:szCs w:val="24"/>
      </w:rPr>
    </w:pPr>
    <w:r w:rsidRPr="00DF6FA1">
      <w:rPr>
        <w:b/>
        <w:sz w:val="24"/>
        <w:szCs w:val="24"/>
      </w:rPr>
      <w:t>MATCOMP 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4A234F"/>
    <w:multiLevelType w:val="multilevel"/>
    <w:tmpl w:val="9C363A3C"/>
    <w:lvl w:ilvl="0">
      <w:start w:val="1"/>
      <w:numFmt w:val="decimal"/>
      <w:pStyle w:val="Ttulo1"/>
      <w:lvlText w:val="%1."/>
      <w:lvlJc w:val="left"/>
      <w:pPr>
        <w:ind w:left="360" w:hanging="360"/>
      </w:pPr>
      <w:rPr>
        <w:rFonts w:hint="default"/>
      </w:rPr>
    </w:lvl>
    <w:lvl w:ilvl="1">
      <w:start w:val="1"/>
      <w:numFmt w:val="decimal"/>
      <w:pStyle w:val="Ttulo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53F9319C"/>
    <w:multiLevelType w:val="multilevel"/>
    <w:tmpl w:val="5AF4D83C"/>
    <w:lvl w:ilvl="0">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08965234">
    <w:abstractNumId w:val="1"/>
  </w:num>
  <w:num w:numId="2" w16cid:durableId="20936247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FA1"/>
    <w:rsid w:val="0004660C"/>
    <w:rsid w:val="00061904"/>
    <w:rsid w:val="00075EDD"/>
    <w:rsid w:val="000B4985"/>
    <w:rsid w:val="000B5556"/>
    <w:rsid w:val="00102D85"/>
    <w:rsid w:val="0010601B"/>
    <w:rsid w:val="00111E15"/>
    <w:rsid w:val="00115BAD"/>
    <w:rsid w:val="0014623D"/>
    <w:rsid w:val="001B3CC4"/>
    <w:rsid w:val="001C59CD"/>
    <w:rsid w:val="001D5EE6"/>
    <w:rsid w:val="001D7323"/>
    <w:rsid w:val="00204472"/>
    <w:rsid w:val="002A64C5"/>
    <w:rsid w:val="002C2314"/>
    <w:rsid w:val="002E3826"/>
    <w:rsid w:val="002F220C"/>
    <w:rsid w:val="002F4106"/>
    <w:rsid w:val="0032787B"/>
    <w:rsid w:val="00335768"/>
    <w:rsid w:val="00362B87"/>
    <w:rsid w:val="003D7237"/>
    <w:rsid w:val="003E4EA4"/>
    <w:rsid w:val="00440011"/>
    <w:rsid w:val="004542ED"/>
    <w:rsid w:val="00460314"/>
    <w:rsid w:val="0047139C"/>
    <w:rsid w:val="004B7751"/>
    <w:rsid w:val="004D6BC0"/>
    <w:rsid w:val="004E27A4"/>
    <w:rsid w:val="004E2F38"/>
    <w:rsid w:val="004E4F0B"/>
    <w:rsid w:val="005407C1"/>
    <w:rsid w:val="0057451A"/>
    <w:rsid w:val="00597CA7"/>
    <w:rsid w:val="005A72FD"/>
    <w:rsid w:val="005D4EEF"/>
    <w:rsid w:val="00600EC7"/>
    <w:rsid w:val="00601D42"/>
    <w:rsid w:val="00603D7C"/>
    <w:rsid w:val="00622361"/>
    <w:rsid w:val="0066425F"/>
    <w:rsid w:val="00684223"/>
    <w:rsid w:val="006A3A33"/>
    <w:rsid w:val="006A4A47"/>
    <w:rsid w:val="006D04A2"/>
    <w:rsid w:val="006F5DE3"/>
    <w:rsid w:val="007106BE"/>
    <w:rsid w:val="00710DC1"/>
    <w:rsid w:val="0073363C"/>
    <w:rsid w:val="007336F0"/>
    <w:rsid w:val="00743F30"/>
    <w:rsid w:val="007529B2"/>
    <w:rsid w:val="007A1880"/>
    <w:rsid w:val="007E1412"/>
    <w:rsid w:val="00827CE3"/>
    <w:rsid w:val="00834842"/>
    <w:rsid w:val="00834C44"/>
    <w:rsid w:val="00845F60"/>
    <w:rsid w:val="00853898"/>
    <w:rsid w:val="00860298"/>
    <w:rsid w:val="008611C1"/>
    <w:rsid w:val="00884811"/>
    <w:rsid w:val="008E4127"/>
    <w:rsid w:val="009266C5"/>
    <w:rsid w:val="00940E78"/>
    <w:rsid w:val="00957925"/>
    <w:rsid w:val="009612C0"/>
    <w:rsid w:val="0098376A"/>
    <w:rsid w:val="009C3450"/>
    <w:rsid w:val="009C7597"/>
    <w:rsid w:val="009D768D"/>
    <w:rsid w:val="009F49A1"/>
    <w:rsid w:val="009F5829"/>
    <w:rsid w:val="009F6991"/>
    <w:rsid w:val="00A0467A"/>
    <w:rsid w:val="00A87C60"/>
    <w:rsid w:val="00AA3378"/>
    <w:rsid w:val="00AA60B4"/>
    <w:rsid w:val="00AB3F7C"/>
    <w:rsid w:val="00AC2447"/>
    <w:rsid w:val="00AF40B9"/>
    <w:rsid w:val="00B3441E"/>
    <w:rsid w:val="00B679BA"/>
    <w:rsid w:val="00B72190"/>
    <w:rsid w:val="00B73F5A"/>
    <w:rsid w:val="00BA55BF"/>
    <w:rsid w:val="00BE22BD"/>
    <w:rsid w:val="00BE30F5"/>
    <w:rsid w:val="00BF5651"/>
    <w:rsid w:val="00BF7AB2"/>
    <w:rsid w:val="00C05BFE"/>
    <w:rsid w:val="00C223F9"/>
    <w:rsid w:val="00C65007"/>
    <w:rsid w:val="00C80128"/>
    <w:rsid w:val="00C94E0C"/>
    <w:rsid w:val="00CE029A"/>
    <w:rsid w:val="00CE36B8"/>
    <w:rsid w:val="00CE7142"/>
    <w:rsid w:val="00CE7E35"/>
    <w:rsid w:val="00D044E8"/>
    <w:rsid w:val="00D37C25"/>
    <w:rsid w:val="00D52BC6"/>
    <w:rsid w:val="00D64545"/>
    <w:rsid w:val="00D65970"/>
    <w:rsid w:val="00D65FEE"/>
    <w:rsid w:val="00D905D8"/>
    <w:rsid w:val="00DA08EB"/>
    <w:rsid w:val="00DF6FA1"/>
    <w:rsid w:val="00E02B81"/>
    <w:rsid w:val="00E4564F"/>
    <w:rsid w:val="00E519E7"/>
    <w:rsid w:val="00E53F0C"/>
    <w:rsid w:val="00E543BD"/>
    <w:rsid w:val="00ED0F1A"/>
    <w:rsid w:val="00EE38AE"/>
    <w:rsid w:val="00EF31A1"/>
    <w:rsid w:val="00F04381"/>
    <w:rsid w:val="00F236CF"/>
    <w:rsid w:val="00F24A2B"/>
    <w:rsid w:val="00F25AED"/>
    <w:rsid w:val="00F45ACF"/>
    <w:rsid w:val="00F856AC"/>
    <w:rsid w:val="00F93196"/>
    <w:rsid w:val="00F93690"/>
    <w:rsid w:val="00FA77FF"/>
    <w:rsid w:val="00FC159C"/>
    <w:rsid w:val="00FC6E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7008AC2"/>
  <w15:chartTrackingRefBased/>
  <w15:docId w15:val="{4F759B50-60E0-4938-AAB4-8941F5509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DC1"/>
    <w:pPr>
      <w:spacing w:before="120" w:after="0" w:line="264" w:lineRule="auto"/>
      <w:jc w:val="both"/>
    </w:pPr>
  </w:style>
  <w:style w:type="paragraph" w:styleId="Ttulo1">
    <w:name w:val="heading 1"/>
    <w:basedOn w:val="Normal"/>
    <w:next w:val="Normal"/>
    <w:link w:val="Ttulo1Car"/>
    <w:uiPriority w:val="9"/>
    <w:qFormat/>
    <w:rsid w:val="00860298"/>
    <w:pPr>
      <w:keepNext/>
      <w:keepLines/>
      <w:numPr>
        <w:numId w:val="2"/>
      </w:numPr>
      <w:spacing w:before="360"/>
      <w:jc w:val="left"/>
      <w:outlineLvl w:val="0"/>
    </w:pPr>
    <w:rPr>
      <w:rFonts w:eastAsiaTheme="majorEastAsia" w:cstheme="majorBidi"/>
      <w:b/>
      <w:sz w:val="24"/>
      <w:szCs w:val="32"/>
      <w:lang w:val="es-ES"/>
    </w:rPr>
  </w:style>
  <w:style w:type="paragraph" w:styleId="Ttulo2">
    <w:name w:val="heading 2"/>
    <w:basedOn w:val="Normal"/>
    <w:next w:val="Normal"/>
    <w:link w:val="Ttulo2Car"/>
    <w:uiPriority w:val="9"/>
    <w:unhideWhenUsed/>
    <w:qFormat/>
    <w:rsid w:val="00710DC1"/>
    <w:pPr>
      <w:keepNext/>
      <w:keepLines/>
      <w:numPr>
        <w:ilvl w:val="1"/>
        <w:numId w:val="2"/>
      </w:numPr>
      <w:spacing w:before="240"/>
      <w:outlineLvl w:val="1"/>
    </w:pPr>
    <w:rPr>
      <w:rFonts w:eastAsiaTheme="majorEastAsia" w:cstheme="majorBidi"/>
      <w:b/>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F6FA1"/>
    <w:pPr>
      <w:tabs>
        <w:tab w:val="center" w:pos="4252"/>
        <w:tab w:val="right" w:pos="8504"/>
      </w:tabs>
      <w:spacing w:before="0" w:line="240" w:lineRule="auto"/>
    </w:pPr>
  </w:style>
  <w:style w:type="character" w:customStyle="1" w:styleId="EncabezadoCar">
    <w:name w:val="Encabezado Car"/>
    <w:basedOn w:val="Fuentedeprrafopredeter"/>
    <w:link w:val="Encabezado"/>
    <w:uiPriority w:val="99"/>
    <w:rsid w:val="00DF6FA1"/>
    <w:rPr>
      <w:rFonts w:ascii="Segoe UI" w:hAnsi="Segoe UI"/>
      <w:sz w:val="20"/>
    </w:rPr>
  </w:style>
  <w:style w:type="paragraph" w:styleId="Piedepgina">
    <w:name w:val="footer"/>
    <w:basedOn w:val="Normal"/>
    <w:link w:val="PiedepginaCar"/>
    <w:uiPriority w:val="99"/>
    <w:unhideWhenUsed/>
    <w:rsid w:val="00DF6FA1"/>
    <w:pPr>
      <w:tabs>
        <w:tab w:val="center" w:pos="4252"/>
        <w:tab w:val="right" w:pos="8504"/>
      </w:tabs>
      <w:spacing w:before="0" w:line="240" w:lineRule="auto"/>
    </w:pPr>
  </w:style>
  <w:style w:type="character" w:customStyle="1" w:styleId="PiedepginaCar">
    <w:name w:val="Pie de página Car"/>
    <w:basedOn w:val="Fuentedeprrafopredeter"/>
    <w:link w:val="Piedepgina"/>
    <w:uiPriority w:val="99"/>
    <w:rsid w:val="00DF6FA1"/>
    <w:rPr>
      <w:rFonts w:ascii="Segoe UI" w:hAnsi="Segoe UI"/>
      <w:sz w:val="20"/>
    </w:rPr>
  </w:style>
  <w:style w:type="character" w:customStyle="1" w:styleId="Ttulo1Car">
    <w:name w:val="Título 1 Car"/>
    <w:basedOn w:val="Fuentedeprrafopredeter"/>
    <w:link w:val="Ttulo1"/>
    <w:uiPriority w:val="9"/>
    <w:rsid w:val="00860298"/>
    <w:rPr>
      <w:rFonts w:eastAsiaTheme="majorEastAsia" w:cstheme="majorBidi"/>
      <w:b/>
      <w:sz w:val="24"/>
      <w:szCs w:val="32"/>
      <w:lang w:val="es-ES"/>
    </w:rPr>
  </w:style>
  <w:style w:type="paragraph" w:styleId="Ttulo">
    <w:name w:val="Title"/>
    <w:basedOn w:val="Normal"/>
    <w:next w:val="Normal"/>
    <w:link w:val="TtuloCar"/>
    <w:uiPriority w:val="10"/>
    <w:qFormat/>
    <w:rsid w:val="00A87C60"/>
    <w:pPr>
      <w:spacing w:before="240" w:after="360" w:line="240" w:lineRule="auto"/>
      <w:contextualSpacing/>
      <w:jc w:val="center"/>
    </w:pPr>
    <w:rPr>
      <w:rFonts w:eastAsiaTheme="majorEastAsia" w:cstheme="majorBidi"/>
      <w:b/>
      <w:spacing w:val="-10"/>
      <w:kern w:val="28"/>
      <w:sz w:val="32"/>
      <w:szCs w:val="56"/>
    </w:rPr>
  </w:style>
  <w:style w:type="character" w:customStyle="1" w:styleId="TtuloCar">
    <w:name w:val="Título Car"/>
    <w:basedOn w:val="Fuentedeprrafopredeter"/>
    <w:link w:val="Ttulo"/>
    <w:uiPriority w:val="10"/>
    <w:rsid w:val="00A87C60"/>
    <w:rPr>
      <w:rFonts w:eastAsiaTheme="majorEastAsia" w:cstheme="majorBidi"/>
      <w:b/>
      <w:spacing w:val="-10"/>
      <w:kern w:val="28"/>
      <w:sz w:val="32"/>
      <w:szCs w:val="56"/>
    </w:rPr>
  </w:style>
  <w:style w:type="character" w:customStyle="1" w:styleId="Ttulo2Car">
    <w:name w:val="Título 2 Car"/>
    <w:basedOn w:val="Fuentedeprrafopredeter"/>
    <w:link w:val="Ttulo2"/>
    <w:uiPriority w:val="9"/>
    <w:rsid w:val="00710DC1"/>
    <w:rPr>
      <w:rFonts w:eastAsiaTheme="majorEastAsia" w:cstheme="majorBidi"/>
      <w:b/>
      <w:szCs w:val="26"/>
      <w:lang w:val="es-ES"/>
    </w:rPr>
  </w:style>
  <w:style w:type="paragraph" w:styleId="Descripcin">
    <w:name w:val="caption"/>
    <w:basedOn w:val="Normal"/>
    <w:next w:val="Normal"/>
    <w:uiPriority w:val="35"/>
    <w:unhideWhenUsed/>
    <w:qFormat/>
    <w:rsid w:val="00102D85"/>
    <w:pPr>
      <w:spacing w:line="240" w:lineRule="auto"/>
      <w:jc w:val="center"/>
    </w:pPr>
    <w:rPr>
      <w:iCs/>
      <w:sz w:val="20"/>
      <w:szCs w:val="18"/>
    </w:rPr>
  </w:style>
  <w:style w:type="table" w:styleId="Tablaconcuadrcula">
    <w:name w:val="Table Grid"/>
    <w:basedOn w:val="Tablanormal"/>
    <w:uiPriority w:val="39"/>
    <w:rsid w:val="00102D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
    <w:name w:val="Tabla"/>
    <w:basedOn w:val="Normal"/>
    <w:link w:val="TablaChar"/>
    <w:qFormat/>
    <w:rsid w:val="00102D85"/>
    <w:pPr>
      <w:spacing w:before="60" w:after="60"/>
    </w:pPr>
    <w:rPr>
      <w:lang w:val="es-ES"/>
    </w:rPr>
  </w:style>
  <w:style w:type="paragraph" w:customStyle="1" w:styleId="Figura">
    <w:name w:val="Figura"/>
    <w:basedOn w:val="Normal"/>
    <w:next w:val="Descripcin"/>
    <w:link w:val="FiguraChar"/>
    <w:qFormat/>
    <w:rsid w:val="00710DC1"/>
    <w:pPr>
      <w:tabs>
        <w:tab w:val="left" w:pos="567"/>
      </w:tabs>
      <w:spacing w:before="240"/>
      <w:jc w:val="center"/>
    </w:pPr>
  </w:style>
  <w:style w:type="character" w:customStyle="1" w:styleId="TablaChar">
    <w:name w:val="Tabla Char"/>
    <w:basedOn w:val="Fuentedeprrafopredeter"/>
    <w:link w:val="Tabla"/>
    <w:rsid w:val="00102D85"/>
    <w:rPr>
      <w:lang w:val="es-ES"/>
    </w:rPr>
  </w:style>
  <w:style w:type="paragraph" w:styleId="Bibliografa">
    <w:name w:val="Bibliography"/>
    <w:basedOn w:val="Normal"/>
    <w:next w:val="Normal"/>
    <w:uiPriority w:val="37"/>
    <w:unhideWhenUsed/>
    <w:rsid w:val="00860298"/>
    <w:pPr>
      <w:jc w:val="left"/>
    </w:pPr>
    <w:rPr>
      <w:sz w:val="20"/>
    </w:rPr>
  </w:style>
  <w:style w:type="character" w:customStyle="1" w:styleId="FiguraChar">
    <w:name w:val="Figura Char"/>
    <w:basedOn w:val="Ttulo1Car"/>
    <w:link w:val="Figura"/>
    <w:rsid w:val="00710DC1"/>
    <w:rPr>
      <w:rFonts w:eastAsiaTheme="majorEastAsia" w:cstheme="majorBidi"/>
      <w:b w:val="0"/>
      <w:sz w:val="24"/>
      <w:szCs w:val="32"/>
      <w:lang w:val="es-ES"/>
    </w:rPr>
  </w:style>
  <w:style w:type="paragraph" w:customStyle="1" w:styleId="Ecuacin">
    <w:name w:val="Ecuación"/>
    <w:basedOn w:val="Normal"/>
    <w:next w:val="Normal"/>
    <w:qFormat/>
    <w:rsid w:val="0073363C"/>
    <w:pPr>
      <w:tabs>
        <w:tab w:val="right" w:pos="4678"/>
      </w:tabs>
      <w:spacing w:before="180" w:after="180"/>
      <w:jc w:val="right"/>
    </w:pPr>
    <w:rPr>
      <w:rFonts w:eastAsiaTheme="minorEastAsia"/>
      <w:lang w:val="es-ES"/>
    </w:rPr>
  </w:style>
  <w:style w:type="character" w:styleId="Textodelmarcadordeposicin">
    <w:name w:val="Placeholder Text"/>
    <w:basedOn w:val="Fuentedeprrafopredeter"/>
    <w:uiPriority w:val="99"/>
    <w:semiHidden/>
    <w:rsid w:val="00860298"/>
    <w:rPr>
      <w:color w:val="808080"/>
    </w:rPr>
  </w:style>
  <w:style w:type="character" w:styleId="Refdecomentario">
    <w:name w:val="annotation reference"/>
    <w:basedOn w:val="Fuentedeprrafopredeter"/>
    <w:uiPriority w:val="99"/>
    <w:semiHidden/>
    <w:unhideWhenUsed/>
    <w:rsid w:val="00F93690"/>
    <w:rPr>
      <w:sz w:val="16"/>
      <w:szCs w:val="16"/>
    </w:rPr>
  </w:style>
  <w:style w:type="paragraph" w:styleId="Textocomentario">
    <w:name w:val="annotation text"/>
    <w:basedOn w:val="Normal"/>
    <w:link w:val="TextocomentarioCar"/>
    <w:uiPriority w:val="99"/>
    <w:semiHidden/>
    <w:unhideWhenUsed/>
    <w:rsid w:val="00F9369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93690"/>
    <w:rPr>
      <w:sz w:val="20"/>
      <w:szCs w:val="20"/>
    </w:rPr>
  </w:style>
  <w:style w:type="paragraph" w:styleId="Asuntodelcomentario">
    <w:name w:val="annotation subject"/>
    <w:basedOn w:val="Textocomentario"/>
    <w:next w:val="Textocomentario"/>
    <w:link w:val="AsuntodelcomentarioCar"/>
    <w:uiPriority w:val="99"/>
    <w:semiHidden/>
    <w:unhideWhenUsed/>
    <w:rsid w:val="00F93690"/>
    <w:rPr>
      <w:b/>
      <w:bCs/>
    </w:rPr>
  </w:style>
  <w:style w:type="character" w:customStyle="1" w:styleId="AsuntodelcomentarioCar">
    <w:name w:val="Asunto del comentario Car"/>
    <w:basedOn w:val="TextocomentarioCar"/>
    <w:link w:val="Asuntodelcomentario"/>
    <w:uiPriority w:val="99"/>
    <w:semiHidden/>
    <w:rsid w:val="00F9369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8754">
      <w:bodyDiv w:val="1"/>
      <w:marLeft w:val="0"/>
      <w:marRight w:val="0"/>
      <w:marTop w:val="0"/>
      <w:marBottom w:val="0"/>
      <w:divBdr>
        <w:top w:val="none" w:sz="0" w:space="0" w:color="auto"/>
        <w:left w:val="none" w:sz="0" w:space="0" w:color="auto"/>
        <w:bottom w:val="none" w:sz="0" w:space="0" w:color="auto"/>
        <w:right w:val="none" w:sz="0" w:space="0" w:color="auto"/>
      </w:divBdr>
    </w:div>
    <w:div w:id="22756458">
      <w:bodyDiv w:val="1"/>
      <w:marLeft w:val="0"/>
      <w:marRight w:val="0"/>
      <w:marTop w:val="0"/>
      <w:marBottom w:val="0"/>
      <w:divBdr>
        <w:top w:val="none" w:sz="0" w:space="0" w:color="auto"/>
        <w:left w:val="none" w:sz="0" w:space="0" w:color="auto"/>
        <w:bottom w:val="none" w:sz="0" w:space="0" w:color="auto"/>
        <w:right w:val="none" w:sz="0" w:space="0" w:color="auto"/>
      </w:divBdr>
    </w:div>
    <w:div w:id="140655852">
      <w:bodyDiv w:val="1"/>
      <w:marLeft w:val="0"/>
      <w:marRight w:val="0"/>
      <w:marTop w:val="0"/>
      <w:marBottom w:val="0"/>
      <w:divBdr>
        <w:top w:val="none" w:sz="0" w:space="0" w:color="auto"/>
        <w:left w:val="none" w:sz="0" w:space="0" w:color="auto"/>
        <w:bottom w:val="none" w:sz="0" w:space="0" w:color="auto"/>
        <w:right w:val="none" w:sz="0" w:space="0" w:color="auto"/>
      </w:divBdr>
    </w:div>
    <w:div w:id="155079262">
      <w:bodyDiv w:val="1"/>
      <w:marLeft w:val="0"/>
      <w:marRight w:val="0"/>
      <w:marTop w:val="0"/>
      <w:marBottom w:val="0"/>
      <w:divBdr>
        <w:top w:val="none" w:sz="0" w:space="0" w:color="auto"/>
        <w:left w:val="none" w:sz="0" w:space="0" w:color="auto"/>
        <w:bottom w:val="none" w:sz="0" w:space="0" w:color="auto"/>
        <w:right w:val="none" w:sz="0" w:space="0" w:color="auto"/>
      </w:divBdr>
    </w:div>
    <w:div w:id="178202178">
      <w:bodyDiv w:val="1"/>
      <w:marLeft w:val="0"/>
      <w:marRight w:val="0"/>
      <w:marTop w:val="0"/>
      <w:marBottom w:val="0"/>
      <w:divBdr>
        <w:top w:val="none" w:sz="0" w:space="0" w:color="auto"/>
        <w:left w:val="none" w:sz="0" w:space="0" w:color="auto"/>
        <w:bottom w:val="none" w:sz="0" w:space="0" w:color="auto"/>
        <w:right w:val="none" w:sz="0" w:space="0" w:color="auto"/>
      </w:divBdr>
    </w:div>
    <w:div w:id="190925929">
      <w:bodyDiv w:val="1"/>
      <w:marLeft w:val="0"/>
      <w:marRight w:val="0"/>
      <w:marTop w:val="0"/>
      <w:marBottom w:val="0"/>
      <w:divBdr>
        <w:top w:val="none" w:sz="0" w:space="0" w:color="auto"/>
        <w:left w:val="none" w:sz="0" w:space="0" w:color="auto"/>
        <w:bottom w:val="none" w:sz="0" w:space="0" w:color="auto"/>
        <w:right w:val="none" w:sz="0" w:space="0" w:color="auto"/>
      </w:divBdr>
    </w:div>
    <w:div w:id="256983671">
      <w:bodyDiv w:val="1"/>
      <w:marLeft w:val="0"/>
      <w:marRight w:val="0"/>
      <w:marTop w:val="0"/>
      <w:marBottom w:val="0"/>
      <w:divBdr>
        <w:top w:val="none" w:sz="0" w:space="0" w:color="auto"/>
        <w:left w:val="none" w:sz="0" w:space="0" w:color="auto"/>
        <w:bottom w:val="none" w:sz="0" w:space="0" w:color="auto"/>
        <w:right w:val="none" w:sz="0" w:space="0" w:color="auto"/>
      </w:divBdr>
    </w:div>
    <w:div w:id="265770625">
      <w:bodyDiv w:val="1"/>
      <w:marLeft w:val="0"/>
      <w:marRight w:val="0"/>
      <w:marTop w:val="0"/>
      <w:marBottom w:val="0"/>
      <w:divBdr>
        <w:top w:val="none" w:sz="0" w:space="0" w:color="auto"/>
        <w:left w:val="none" w:sz="0" w:space="0" w:color="auto"/>
        <w:bottom w:val="none" w:sz="0" w:space="0" w:color="auto"/>
        <w:right w:val="none" w:sz="0" w:space="0" w:color="auto"/>
      </w:divBdr>
    </w:div>
    <w:div w:id="280692223">
      <w:bodyDiv w:val="1"/>
      <w:marLeft w:val="0"/>
      <w:marRight w:val="0"/>
      <w:marTop w:val="0"/>
      <w:marBottom w:val="0"/>
      <w:divBdr>
        <w:top w:val="none" w:sz="0" w:space="0" w:color="auto"/>
        <w:left w:val="none" w:sz="0" w:space="0" w:color="auto"/>
        <w:bottom w:val="none" w:sz="0" w:space="0" w:color="auto"/>
        <w:right w:val="none" w:sz="0" w:space="0" w:color="auto"/>
      </w:divBdr>
    </w:div>
    <w:div w:id="363598913">
      <w:bodyDiv w:val="1"/>
      <w:marLeft w:val="0"/>
      <w:marRight w:val="0"/>
      <w:marTop w:val="0"/>
      <w:marBottom w:val="0"/>
      <w:divBdr>
        <w:top w:val="none" w:sz="0" w:space="0" w:color="auto"/>
        <w:left w:val="none" w:sz="0" w:space="0" w:color="auto"/>
        <w:bottom w:val="none" w:sz="0" w:space="0" w:color="auto"/>
        <w:right w:val="none" w:sz="0" w:space="0" w:color="auto"/>
      </w:divBdr>
    </w:div>
    <w:div w:id="367144604">
      <w:bodyDiv w:val="1"/>
      <w:marLeft w:val="0"/>
      <w:marRight w:val="0"/>
      <w:marTop w:val="0"/>
      <w:marBottom w:val="0"/>
      <w:divBdr>
        <w:top w:val="none" w:sz="0" w:space="0" w:color="auto"/>
        <w:left w:val="none" w:sz="0" w:space="0" w:color="auto"/>
        <w:bottom w:val="none" w:sz="0" w:space="0" w:color="auto"/>
        <w:right w:val="none" w:sz="0" w:space="0" w:color="auto"/>
      </w:divBdr>
    </w:div>
    <w:div w:id="389234994">
      <w:bodyDiv w:val="1"/>
      <w:marLeft w:val="0"/>
      <w:marRight w:val="0"/>
      <w:marTop w:val="0"/>
      <w:marBottom w:val="0"/>
      <w:divBdr>
        <w:top w:val="none" w:sz="0" w:space="0" w:color="auto"/>
        <w:left w:val="none" w:sz="0" w:space="0" w:color="auto"/>
        <w:bottom w:val="none" w:sz="0" w:space="0" w:color="auto"/>
        <w:right w:val="none" w:sz="0" w:space="0" w:color="auto"/>
      </w:divBdr>
    </w:div>
    <w:div w:id="389840568">
      <w:bodyDiv w:val="1"/>
      <w:marLeft w:val="0"/>
      <w:marRight w:val="0"/>
      <w:marTop w:val="0"/>
      <w:marBottom w:val="0"/>
      <w:divBdr>
        <w:top w:val="none" w:sz="0" w:space="0" w:color="auto"/>
        <w:left w:val="none" w:sz="0" w:space="0" w:color="auto"/>
        <w:bottom w:val="none" w:sz="0" w:space="0" w:color="auto"/>
        <w:right w:val="none" w:sz="0" w:space="0" w:color="auto"/>
      </w:divBdr>
    </w:div>
    <w:div w:id="421993424">
      <w:bodyDiv w:val="1"/>
      <w:marLeft w:val="0"/>
      <w:marRight w:val="0"/>
      <w:marTop w:val="0"/>
      <w:marBottom w:val="0"/>
      <w:divBdr>
        <w:top w:val="none" w:sz="0" w:space="0" w:color="auto"/>
        <w:left w:val="none" w:sz="0" w:space="0" w:color="auto"/>
        <w:bottom w:val="none" w:sz="0" w:space="0" w:color="auto"/>
        <w:right w:val="none" w:sz="0" w:space="0" w:color="auto"/>
      </w:divBdr>
    </w:div>
    <w:div w:id="443118227">
      <w:bodyDiv w:val="1"/>
      <w:marLeft w:val="0"/>
      <w:marRight w:val="0"/>
      <w:marTop w:val="0"/>
      <w:marBottom w:val="0"/>
      <w:divBdr>
        <w:top w:val="none" w:sz="0" w:space="0" w:color="auto"/>
        <w:left w:val="none" w:sz="0" w:space="0" w:color="auto"/>
        <w:bottom w:val="none" w:sz="0" w:space="0" w:color="auto"/>
        <w:right w:val="none" w:sz="0" w:space="0" w:color="auto"/>
      </w:divBdr>
    </w:div>
    <w:div w:id="459348656">
      <w:bodyDiv w:val="1"/>
      <w:marLeft w:val="0"/>
      <w:marRight w:val="0"/>
      <w:marTop w:val="0"/>
      <w:marBottom w:val="0"/>
      <w:divBdr>
        <w:top w:val="none" w:sz="0" w:space="0" w:color="auto"/>
        <w:left w:val="none" w:sz="0" w:space="0" w:color="auto"/>
        <w:bottom w:val="none" w:sz="0" w:space="0" w:color="auto"/>
        <w:right w:val="none" w:sz="0" w:space="0" w:color="auto"/>
      </w:divBdr>
    </w:div>
    <w:div w:id="499005698">
      <w:bodyDiv w:val="1"/>
      <w:marLeft w:val="0"/>
      <w:marRight w:val="0"/>
      <w:marTop w:val="0"/>
      <w:marBottom w:val="0"/>
      <w:divBdr>
        <w:top w:val="none" w:sz="0" w:space="0" w:color="auto"/>
        <w:left w:val="none" w:sz="0" w:space="0" w:color="auto"/>
        <w:bottom w:val="none" w:sz="0" w:space="0" w:color="auto"/>
        <w:right w:val="none" w:sz="0" w:space="0" w:color="auto"/>
      </w:divBdr>
    </w:div>
    <w:div w:id="505172166">
      <w:bodyDiv w:val="1"/>
      <w:marLeft w:val="0"/>
      <w:marRight w:val="0"/>
      <w:marTop w:val="0"/>
      <w:marBottom w:val="0"/>
      <w:divBdr>
        <w:top w:val="none" w:sz="0" w:space="0" w:color="auto"/>
        <w:left w:val="none" w:sz="0" w:space="0" w:color="auto"/>
        <w:bottom w:val="none" w:sz="0" w:space="0" w:color="auto"/>
        <w:right w:val="none" w:sz="0" w:space="0" w:color="auto"/>
      </w:divBdr>
    </w:div>
    <w:div w:id="847795772">
      <w:bodyDiv w:val="1"/>
      <w:marLeft w:val="0"/>
      <w:marRight w:val="0"/>
      <w:marTop w:val="0"/>
      <w:marBottom w:val="0"/>
      <w:divBdr>
        <w:top w:val="none" w:sz="0" w:space="0" w:color="auto"/>
        <w:left w:val="none" w:sz="0" w:space="0" w:color="auto"/>
        <w:bottom w:val="none" w:sz="0" w:space="0" w:color="auto"/>
        <w:right w:val="none" w:sz="0" w:space="0" w:color="auto"/>
      </w:divBdr>
    </w:div>
    <w:div w:id="975842999">
      <w:bodyDiv w:val="1"/>
      <w:marLeft w:val="0"/>
      <w:marRight w:val="0"/>
      <w:marTop w:val="0"/>
      <w:marBottom w:val="0"/>
      <w:divBdr>
        <w:top w:val="none" w:sz="0" w:space="0" w:color="auto"/>
        <w:left w:val="none" w:sz="0" w:space="0" w:color="auto"/>
        <w:bottom w:val="none" w:sz="0" w:space="0" w:color="auto"/>
        <w:right w:val="none" w:sz="0" w:space="0" w:color="auto"/>
      </w:divBdr>
    </w:div>
    <w:div w:id="1096242658">
      <w:bodyDiv w:val="1"/>
      <w:marLeft w:val="0"/>
      <w:marRight w:val="0"/>
      <w:marTop w:val="0"/>
      <w:marBottom w:val="0"/>
      <w:divBdr>
        <w:top w:val="none" w:sz="0" w:space="0" w:color="auto"/>
        <w:left w:val="none" w:sz="0" w:space="0" w:color="auto"/>
        <w:bottom w:val="none" w:sz="0" w:space="0" w:color="auto"/>
        <w:right w:val="none" w:sz="0" w:space="0" w:color="auto"/>
      </w:divBdr>
    </w:div>
    <w:div w:id="1159922933">
      <w:bodyDiv w:val="1"/>
      <w:marLeft w:val="0"/>
      <w:marRight w:val="0"/>
      <w:marTop w:val="0"/>
      <w:marBottom w:val="0"/>
      <w:divBdr>
        <w:top w:val="none" w:sz="0" w:space="0" w:color="auto"/>
        <w:left w:val="none" w:sz="0" w:space="0" w:color="auto"/>
        <w:bottom w:val="none" w:sz="0" w:space="0" w:color="auto"/>
        <w:right w:val="none" w:sz="0" w:space="0" w:color="auto"/>
      </w:divBdr>
    </w:div>
    <w:div w:id="1276136157">
      <w:bodyDiv w:val="1"/>
      <w:marLeft w:val="0"/>
      <w:marRight w:val="0"/>
      <w:marTop w:val="0"/>
      <w:marBottom w:val="0"/>
      <w:divBdr>
        <w:top w:val="none" w:sz="0" w:space="0" w:color="auto"/>
        <w:left w:val="none" w:sz="0" w:space="0" w:color="auto"/>
        <w:bottom w:val="none" w:sz="0" w:space="0" w:color="auto"/>
        <w:right w:val="none" w:sz="0" w:space="0" w:color="auto"/>
      </w:divBdr>
    </w:div>
    <w:div w:id="1300113189">
      <w:bodyDiv w:val="1"/>
      <w:marLeft w:val="0"/>
      <w:marRight w:val="0"/>
      <w:marTop w:val="0"/>
      <w:marBottom w:val="0"/>
      <w:divBdr>
        <w:top w:val="none" w:sz="0" w:space="0" w:color="auto"/>
        <w:left w:val="none" w:sz="0" w:space="0" w:color="auto"/>
        <w:bottom w:val="none" w:sz="0" w:space="0" w:color="auto"/>
        <w:right w:val="none" w:sz="0" w:space="0" w:color="auto"/>
      </w:divBdr>
    </w:div>
    <w:div w:id="1370300833">
      <w:bodyDiv w:val="1"/>
      <w:marLeft w:val="0"/>
      <w:marRight w:val="0"/>
      <w:marTop w:val="0"/>
      <w:marBottom w:val="0"/>
      <w:divBdr>
        <w:top w:val="none" w:sz="0" w:space="0" w:color="auto"/>
        <w:left w:val="none" w:sz="0" w:space="0" w:color="auto"/>
        <w:bottom w:val="none" w:sz="0" w:space="0" w:color="auto"/>
        <w:right w:val="none" w:sz="0" w:space="0" w:color="auto"/>
      </w:divBdr>
    </w:div>
    <w:div w:id="1422989944">
      <w:bodyDiv w:val="1"/>
      <w:marLeft w:val="0"/>
      <w:marRight w:val="0"/>
      <w:marTop w:val="0"/>
      <w:marBottom w:val="0"/>
      <w:divBdr>
        <w:top w:val="none" w:sz="0" w:space="0" w:color="auto"/>
        <w:left w:val="none" w:sz="0" w:space="0" w:color="auto"/>
        <w:bottom w:val="none" w:sz="0" w:space="0" w:color="auto"/>
        <w:right w:val="none" w:sz="0" w:space="0" w:color="auto"/>
      </w:divBdr>
    </w:div>
    <w:div w:id="1447314295">
      <w:bodyDiv w:val="1"/>
      <w:marLeft w:val="0"/>
      <w:marRight w:val="0"/>
      <w:marTop w:val="0"/>
      <w:marBottom w:val="0"/>
      <w:divBdr>
        <w:top w:val="none" w:sz="0" w:space="0" w:color="auto"/>
        <w:left w:val="none" w:sz="0" w:space="0" w:color="auto"/>
        <w:bottom w:val="none" w:sz="0" w:space="0" w:color="auto"/>
        <w:right w:val="none" w:sz="0" w:space="0" w:color="auto"/>
      </w:divBdr>
    </w:div>
    <w:div w:id="1462267965">
      <w:bodyDiv w:val="1"/>
      <w:marLeft w:val="0"/>
      <w:marRight w:val="0"/>
      <w:marTop w:val="0"/>
      <w:marBottom w:val="0"/>
      <w:divBdr>
        <w:top w:val="none" w:sz="0" w:space="0" w:color="auto"/>
        <w:left w:val="none" w:sz="0" w:space="0" w:color="auto"/>
        <w:bottom w:val="none" w:sz="0" w:space="0" w:color="auto"/>
        <w:right w:val="none" w:sz="0" w:space="0" w:color="auto"/>
      </w:divBdr>
    </w:div>
    <w:div w:id="1636179198">
      <w:bodyDiv w:val="1"/>
      <w:marLeft w:val="0"/>
      <w:marRight w:val="0"/>
      <w:marTop w:val="0"/>
      <w:marBottom w:val="0"/>
      <w:divBdr>
        <w:top w:val="none" w:sz="0" w:space="0" w:color="auto"/>
        <w:left w:val="none" w:sz="0" w:space="0" w:color="auto"/>
        <w:bottom w:val="none" w:sz="0" w:space="0" w:color="auto"/>
        <w:right w:val="none" w:sz="0" w:space="0" w:color="auto"/>
      </w:divBdr>
    </w:div>
    <w:div w:id="1641571594">
      <w:bodyDiv w:val="1"/>
      <w:marLeft w:val="0"/>
      <w:marRight w:val="0"/>
      <w:marTop w:val="0"/>
      <w:marBottom w:val="0"/>
      <w:divBdr>
        <w:top w:val="none" w:sz="0" w:space="0" w:color="auto"/>
        <w:left w:val="none" w:sz="0" w:space="0" w:color="auto"/>
        <w:bottom w:val="none" w:sz="0" w:space="0" w:color="auto"/>
        <w:right w:val="none" w:sz="0" w:space="0" w:color="auto"/>
      </w:divBdr>
    </w:div>
    <w:div w:id="1717702232">
      <w:bodyDiv w:val="1"/>
      <w:marLeft w:val="0"/>
      <w:marRight w:val="0"/>
      <w:marTop w:val="0"/>
      <w:marBottom w:val="0"/>
      <w:divBdr>
        <w:top w:val="none" w:sz="0" w:space="0" w:color="auto"/>
        <w:left w:val="none" w:sz="0" w:space="0" w:color="auto"/>
        <w:bottom w:val="none" w:sz="0" w:space="0" w:color="auto"/>
        <w:right w:val="none" w:sz="0" w:space="0" w:color="auto"/>
      </w:divBdr>
    </w:div>
    <w:div w:id="1752043157">
      <w:bodyDiv w:val="1"/>
      <w:marLeft w:val="0"/>
      <w:marRight w:val="0"/>
      <w:marTop w:val="0"/>
      <w:marBottom w:val="0"/>
      <w:divBdr>
        <w:top w:val="none" w:sz="0" w:space="0" w:color="auto"/>
        <w:left w:val="none" w:sz="0" w:space="0" w:color="auto"/>
        <w:bottom w:val="none" w:sz="0" w:space="0" w:color="auto"/>
        <w:right w:val="none" w:sz="0" w:space="0" w:color="auto"/>
      </w:divBdr>
    </w:div>
    <w:div w:id="1754425634">
      <w:bodyDiv w:val="1"/>
      <w:marLeft w:val="0"/>
      <w:marRight w:val="0"/>
      <w:marTop w:val="0"/>
      <w:marBottom w:val="0"/>
      <w:divBdr>
        <w:top w:val="none" w:sz="0" w:space="0" w:color="auto"/>
        <w:left w:val="none" w:sz="0" w:space="0" w:color="auto"/>
        <w:bottom w:val="none" w:sz="0" w:space="0" w:color="auto"/>
        <w:right w:val="none" w:sz="0" w:space="0" w:color="auto"/>
      </w:divBdr>
    </w:div>
    <w:div w:id="1764915329">
      <w:bodyDiv w:val="1"/>
      <w:marLeft w:val="0"/>
      <w:marRight w:val="0"/>
      <w:marTop w:val="0"/>
      <w:marBottom w:val="0"/>
      <w:divBdr>
        <w:top w:val="none" w:sz="0" w:space="0" w:color="auto"/>
        <w:left w:val="none" w:sz="0" w:space="0" w:color="auto"/>
        <w:bottom w:val="none" w:sz="0" w:space="0" w:color="auto"/>
        <w:right w:val="none" w:sz="0" w:space="0" w:color="auto"/>
      </w:divBdr>
    </w:div>
    <w:div w:id="1783843191">
      <w:bodyDiv w:val="1"/>
      <w:marLeft w:val="0"/>
      <w:marRight w:val="0"/>
      <w:marTop w:val="0"/>
      <w:marBottom w:val="0"/>
      <w:divBdr>
        <w:top w:val="none" w:sz="0" w:space="0" w:color="auto"/>
        <w:left w:val="none" w:sz="0" w:space="0" w:color="auto"/>
        <w:bottom w:val="none" w:sz="0" w:space="0" w:color="auto"/>
        <w:right w:val="none" w:sz="0" w:space="0" w:color="auto"/>
      </w:divBdr>
    </w:div>
    <w:div w:id="1796831133">
      <w:bodyDiv w:val="1"/>
      <w:marLeft w:val="0"/>
      <w:marRight w:val="0"/>
      <w:marTop w:val="0"/>
      <w:marBottom w:val="0"/>
      <w:divBdr>
        <w:top w:val="none" w:sz="0" w:space="0" w:color="auto"/>
        <w:left w:val="none" w:sz="0" w:space="0" w:color="auto"/>
        <w:bottom w:val="none" w:sz="0" w:space="0" w:color="auto"/>
        <w:right w:val="none" w:sz="0" w:space="0" w:color="auto"/>
      </w:divBdr>
    </w:div>
    <w:div w:id="1830822150">
      <w:bodyDiv w:val="1"/>
      <w:marLeft w:val="0"/>
      <w:marRight w:val="0"/>
      <w:marTop w:val="0"/>
      <w:marBottom w:val="0"/>
      <w:divBdr>
        <w:top w:val="none" w:sz="0" w:space="0" w:color="auto"/>
        <w:left w:val="none" w:sz="0" w:space="0" w:color="auto"/>
        <w:bottom w:val="none" w:sz="0" w:space="0" w:color="auto"/>
        <w:right w:val="none" w:sz="0" w:space="0" w:color="auto"/>
      </w:divBdr>
    </w:div>
    <w:div w:id="1865286447">
      <w:bodyDiv w:val="1"/>
      <w:marLeft w:val="0"/>
      <w:marRight w:val="0"/>
      <w:marTop w:val="0"/>
      <w:marBottom w:val="0"/>
      <w:divBdr>
        <w:top w:val="none" w:sz="0" w:space="0" w:color="auto"/>
        <w:left w:val="none" w:sz="0" w:space="0" w:color="auto"/>
        <w:bottom w:val="none" w:sz="0" w:space="0" w:color="auto"/>
        <w:right w:val="none" w:sz="0" w:space="0" w:color="auto"/>
      </w:divBdr>
    </w:div>
    <w:div w:id="1867794459">
      <w:bodyDiv w:val="1"/>
      <w:marLeft w:val="0"/>
      <w:marRight w:val="0"/>
      <w:marTop w:val="0"/>
      <w:marBottom w:val="0"/>
      <w:divBdr>
        <w:top w:val="none" w:sz="0" w:space="0" w:color="auto"/>
        <w:left w:val="none" w:sz="0" w:space="0" w:color="auto"/>
        <w:bottom w:val="none" w:sz="0" w:space="0" w:color="auto"/>
        <w:right w:val="none" w:sz="0" w:space="0" w:color="auto"/>
      </w:divBdr>
    </w:div>
    <w:div w:id="1940872170">
      <w:bodyDiv w:val="1"/>
      <w:marLeft w:val="0"/>
      <w:marRight w:val="0"/>
      <w:marTop w:val="0"/>
      <w:marBottom w:val="0"/>
      <w:divBdr>
        <w:top w:val="none" w:sz="0" w:space="0" w:color="auto"/>
        <w:left w:val="none" w:sz="0" w:space="0" w:color="auto"/>
        <w:bottom w:val="none" w:sz="0" w:space="0" w:color="auto"/>
        <w:right w:val="none" w:sz="0" w:space="0" w:color="auto"/>
      </w:divBdr>
    </w:div>
    <w:div w:id="197972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Raq17</b:Tag>
    <b:SourceType>JournalArticle</b:SourceType>
    <b:Guid>{AE6B55DD-9324-47A7-A611-463F6D83F5C5}</b:Guid>
    <b:Author>
      <b:Author>
        <b:NameList>
          <b:Person>
            <b:Last>Verdejo</b:Last>
            <b:First>Raquel</b:First>
          </b:Person>
          <b:Person>
            <b:Last>Martinez</b:Last>
            <b:First>Xavier</b:First>
          </b:Person>
        </b:NameList>
      </b:Author>
    </b:Author>
    <b:Title>Editorial</b:Title>
    <b:Year>2017. DOI: 10.23967/r.matcomp.2017.10.002</b:Year>
    <b:URL>https://www.scipedia.com/public/Verdejo_Martinez_2017a</b:URL>
    <b:JournalName>Materiales Compuestos</b:JournalName>
    <b:Volume>1</b:Volume>
    <b:Issue>1</b:Issue>
    <b:RefOrder>1</b:RefOrder>
  </b:Source>
</b:Sources>
</file>

<file path=customXml/itemProps1.xml><?xml version="1.0" encoding="utf-8"?>
<ds:datastoreItem xmlns:ds="http://schemas.openxmlformats.org/officeDocument/2006/customXml" ds:itemID="{AD49D9B6-0EAF-4BC6-B077-21F74070D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912</TotalTime>
  <Pages>10</Pages>
  <Words>5363</Words>
  <Characters>29498</Characters>
  <Application>Microsoft Office Word</Application>
  <DocSecurity>0</DocSecurity>
  <Lines>245</Lines>
  <Paragraphs>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Xavier Martinez</dc:creator>
  <cp:keywords/>
  <dc:description/>
  <cp:lastModifiedBy>Laura Fulgencio</cp:lastModifiedBy>
  <cp:revision>43</cp:revision>
  <dcterms:created xsi:type="dcterms:W3CDTF">2023-05-16T10:06:00Z</dcterms:created>
  <dcterms:modified xsi:type="dcterms:W3CDTF">2023-11-27T09:14:00Z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91ac7e66-c328-38c7-9e3c-21bb36c91325</vt:lpwstr>
  </property>
  <property fmtid="{D5CDD505-2E9C-101B-9397-08002B2CF9AE}" pid="4" name="Mendeley Citation Style_1">
    <vt:lpwstr>http://www.zotero.org/styles/fuel-processing-technology</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http://www.zotero.org/styles/fuel-processing-technology</vt:lpwstr>
  </property>
  <property fmtid="{D5CDD505-2E9C-101B-9397-08002B2CF9AE}" pid="16" name="Mendeley Recent Style Name 5_1">
    <vt:lpwstr>Fuel Processing Technology</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